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bookmarkStart w:id="0" w:name="_GoBack"/>
      <w:bookmarkEnd w:id="0"/>
      <w:r w:rsidRPr="00B57E9A">
        <w:rPr>
          <w:rFonts w:ascii="Times New Roman" w:hAnsi="Times New Roman" w:cs="Times New Roman"/>
          <w:sz w:val="24"/>
          <w:szCs w:val="24"/>
        </w:rPr>
        <w:t>Efter votering afsagde retten følgende</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b/>
          <w:bCs/>
          <w:sz w:val="24"/>
          <w:szCs w:val="24"/>
        </w:rPr>
      </w:pPr>
      <w:r w:rsidRPr="00B57E9A">
        <w:rPr>
          <w:rFonts w:ascii="Times New Roman" w:hAnsi="Times New Roman" w:cs="Times New Roman"/>
          <w:b/>
          <w:bCs/>
          <w:sz w:val="24"/>
          <w:szCs w:val="24"/>
        </w:rPr>
        <w:t>Kendelse:</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Samtlige dommere og nævninger udtaler:</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b/>
          <w:bCs/>
          <w:sz w:val="24"/>
          <w:szCs w:val="24"/>
        </w:rPr>
      </w:pPr>
      <w:r w:rsidRPr="00B57E9A">
        <w:rPr>
          <w:rFonts w:ascii="Times New Roman" w:hAnsi="Times New Roman" w:cs="Times New Roman"/>
          <w:b/>
          <w:bCs/>
          <w:sz w:val="24"/>
          <w:szCs w:val="24"/>
        </w:rPr>
        <w:t>Forhold 1:</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Efter bevisførelsen, herunder forklaringen fra vidnet KF0977, lægges det til grund, at PET den 18. april </w:t>
      </w:r>
      <w:r>
        <w:rPr>
          <w:rFonts w:ascii="Times New Roman" w:hAnsi="Times New Roman" w:cs="Times New Roman"/>
          <w:sz w:val="24"/>
          <w:szCs w:val="24"/>
        </w:rPr>
        <w:t>2020</w:t>
      </w:r>
      <w:r w:rsidRPr="00B57E9A">
        <w:rPr>
          <w:rFonts w:ascii="Times New Roman" w:hAnsi="Times New Roman" w:cs="Times New Roman"/>
          <w:sz w:val="24"/>
          <w:szCs w:val="24"/>
        </w:rPr>
        <w:t xml:space="preserve"> iværksatte rumaflytning på adressen </w:t>
      </w:r>
      <w:r>
        <w:rPr>
          <w:rFonts w:ascii="Times New Roman" w:hAnsi="Times New Roman" w:cs="Times New Roman"/>
          <w:sz w:val="24"/>
          <w:szCs w:val="24"/>
        </w:rPr>
        <w:t>XXX</w:t>
      </w:r>
      <w:r w:rsidRPr="00B57E9A">
        <w:rPr>
          <w:rFonts w:ascii="Times New Roman" w:hAnsi="Times New Roman" w:cs="Times New Roman"/>
          <w:sz w:val="24"/>
          <w:szCs w:val="24"/>
        </w:rPr>
        <w:t>, hvor tiltaltes mor bor, og hvor tiltalte i denne periode opholdt sig. Rumaflytningen blev iværksat på baggrund af et tip fra en samarbejdspartner til PET. Ud over rumaflytning blev der iværksat flere hemmelige ransagninger på adressen. Første hemmelige ransagning var den 21. april 2020. Herudover har PET under efterforskningen iværksat aflytning af tiltaltes telefon samt iværksat aflytning af bruttodatastrømmen.</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Under de hemmelige ransagninger blev der blandt andet fundet en AK-47-attrap/</w:t>
      </w:r>
      <w:proofErr w:type="spellStart"/>
      <w:r w:rsidRPr="00B57E9A">
        <w:rPr>
          <w:rFonts w:ascii="Times New Roman" w:hAnsi="Times New Roman" w:cs="Times New Roman"/>
          <w:sz w:val="24"/>
          <w:szCs w:val="24"/>
        </w:rPr>
        <w:t>hardball</w:t>
      </w:r>
      <w:proofErr w:type="spellEnd"/>
      <w:r w:rsidRPr="00B57E9A">
        <w:rPr>
          <w:rFonts w:ascii="Times New Roman" w:hAnsi="Times New Roman" w:cs="Times New Roman"/>
          <w:sz w:val="24"/>
          <w:szCs w:val="24"/>
        </w:rPr>
        <w:t>-gevær og et sort flag i stof med arabisk skrift.</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Den 24. april 2020 indledte tiltalte korrespondance med den PET-kontrollerede profil med kaldenavnet ”agent 474A” over den krypterede app SIGNAL. Korrespondancen blev indledt på baggrund af anden forudgående korrespondance imellem tiltalte og en for retten ukendt person. Korrespondancen med den PET-kontrollerede agentprofil over SIGNAL fortsatte løbende frem til og med den 28. april 2020, hvor tiltalte af den PET-kontrollerede profil ”agent 474A” fik udleveret kontaktoplysningerne til agent 472A med henblik på aftale om overlevering af en pistol med tilhørende ammunition og magasiner. Tiltalte korresponderede med agent 472A i perioden fra den 29. april 2020 og frem til anholdelsen den 30. april 2020.</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Ved anholdelsen blev tiltalte fundet i besiddelse af en taske indeholdende en pistol af typen Glock17, der af politiet uden tiltaltes viden var blevet deaktiveret, samt 2 tilhørende magasiner og 50 patroner. Effekterne var blevet overleveret til tiltalte, mod betaling af 3.000 kr., af agent 472 A umiddelbart forinden. I forlængelse af anholdelsen blev der foretaget ransagning på ovennævnte adresse. Under ransagningen blev der på tiltaltes værelse i et klædeskab fundet et mindre håndtegnet IS-flag og et større islamistisk flag i stof. På gulvet fandt politiet en AK-47-attrap/</w:t>
      </w:r>
      <w:proofErr w:type="spellStart"/>
      <w:r w:rsidRPr="00B57E9A">
        <w:rPr>
          <w:rFonts w:ascii="Times New Roman" w:hAnsi="Times New Roman" w:cs="Times New Roman"/>
          <w:sz w:val="24"/>
          <w:szCs w:val="24"/>
        </w:rPr>
        <w:t>hardball</w:t>
      </w:r>
      <w:proofErr w:type="spellEnd"/>
      <w:r w:rsidRPr="00B57E9A">
        <w:rPr>
          <w:rFonts w:ascii="Times New Roman" w:hAnsi="Times New Roman" w:cs="Times New Roman"/>
          <w:sz w:val="24"/>
          <w:szCs w:val="24"/>
        </w:rPr>
        <w:t>-gevær. Under ransagningen fandt politiet desuden en computer samt flere mobiltelefoner.</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Under gennemgang af tiltaltes computer, telefon og aflytning af bruttodata-strømmen udfandt politiet en større mængde materiale af militant islamistisk karakter, herunder blandt andet filerne ”</w:t>
      </w:r>
      <w:proofErr w:type="spellStart"/>
      <w:r w:rsidRPr="00B57E9A">
        <w:rPr>
          <w:rFonts w:ascii="Times New Roman" w:hAnsi="Times New Roman" w:cs="Times New Roman"/>
          <w:sz w:val="24"/>
          <w:szCs w:val="24"/>
        </w:rPr>
        <w:t>Islamic</w:t>
      </w:r>
      <w:proofErr w:type="spellEnd"/>
      <w:r w:rsidRPr="00B57E9A">
        <w:rPr>
          <w:rFonts w:ascii="Times New Roman" w:hAnsi="Times New Roman" w:cs="Times New Roman"/>
          <w:sz w:val="24"/>
          <w:szCs w:val="24"/>
        </w:rPr>
        <w:t xml:space="preserve"> State – Open Source Jihad, ”44 </w:t>
      </w:r>
      <w:proofErr w:type="spellStart"/>
      <w:r w:rsidRPr="00B57E9A">
        <w:rPr>
          <w:rFonts w:ascii="Times New Roman" w:hAnsi="Times New Roman" w:cs="Times New Roman"/>
          <w:sz w:val="24"/>
          <w:szCs w:val="24"/>
        </w:rPr>
        <w:t>ways</w:t>
      </w:r>
      <w:proofErr w:type="spellEnd"/>
      <w:r w:rsidRPr="00B57E9A">
        <w:rPr>
          <w:rFonts w:ascii="Times New Roman" w:hAnsi="Times New Roman" w:cs="Times New Roman"/>
          <w:sz w:val="24"/>
          <w:szCs w:val="24"/>
        </w:rPr>
        <w:t xml:space="preserve"> to support jihad”, ”From </w:t>
      </w:r>
      <w:proofErr w:type="spellStart"/>
      <w:r w:rsidRPr="00B57E9A">
        <w:rPr>
          <w:rFonts w:ascii="Times New Roman" w:hAnsi="Times New Roman" w:cs="Times New Roman"/>
          <w:sz w:val="24"/>
          <w:szCs w:val="24"/>
        </w:rPr>
        <w:t>Dabiq</w:t>
      </w:r>
      <w:proofErr w:type="spellEnd"/>
      <w:r w:rsidRPr="00B57E9A">
        <w:rPr>
          <w:rFonts w:ascii="Times New Roman" w:hAnsi="Times New Roman" w:cs="Times New Roman"/>
          <w:sz w:val="24"/>
          <w:szCs w:val="24"/>
        </w:rPr>
        <w:t xml:space="preserve"> to Rome no. 57” og videoen ”The Procession of Light 2” samt en fil indeholdende en vejledning om IT-sikkerhed mv. ”CYBER-SECURITY”.</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Ved politiets gennemgang af tiltaltes Facebookprofil med navnet </w:t>
      </w:r>
      <w:r>
        <w:rPr>
          <w:rFonts w:ascii="Times New Roman" w:hAnsi="Times New Roman" w:cs="Times New Roman"/>
          <w:sz w:val="24"/>
          <w:szCs w:val="24"/>
        </w:rPr>
        <w:t>AAA</w:t>
      </w:r>
      <w:r w:rsidRPr="00B57E9A">
        <w:rPr>
          <w:rFonts w:ascii="Times New Roman" w:hAnsi="Times New Roman" w:cs="Times New Roman"/>
          <w:sz w:val="24"/>
          <w:szCs w:val="24"/>
        </w:rPr>
        <w:t xml:space="preserve"> ses tiltalte at have anvendt billedet af en ung selvmordsbomber som sit profilbillede. På Facebookprofilen ses desuden flere ytringer af yderliggående karakter.</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Politiets efterforskning har vist, at tiltalte via sin telefon den 16. og 24. april 2020 foretog søgninger vedrørende Omar El-Husseins angreb på blandt andet Krudttønden, ligesom tiltalte havde foretaget søgning på musikbegivenheden Distortion.</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Af rumaflytningen fra den 20. april 2020 fremgår, at tiltalte gentagne gange reciterede en tekst, der af retten, på baggrund af vidnet KF0310’s forklaring, anses som en troskabserklæring. På tiltaltes mobiltelefon udfandt politiet en PDF-fil indeholdende en tekst af tilsvarende ordlyd som den reciterede troskabserklæring. Det fremgår af sagen, at FBI den 6. oktober 2020 fremsendte en udateret video, der viser tiltalte </w:t>
      </w:r>
      <w:proofErr w:type="gramStart"/>
      <w:r w:rsidRPr="00B57E9A">
        <w:rPr>
          <w:rFonts w:ascii="Times New Roman" w:hAnsi="Times New Roman" w:cs="Times New Roman"/>
          <w:sz w:val="24"/>
          <w:szCs w:val="24"/>
        </w:rPr>
        <w:t>recitere</w:t>
      </w:r>
      <w:proofErr w:type="gramEnd"/>
      <w:r w:rsidRPr="00B57E9A">
        <w:rPr>
          <w:rFonts w:ascii="Times New Roman" w:hAnsi="Times New Roman" w:cs="Times New Roman"/>
          <w:sz w:val="24"/>
          <w:szCs w:val="24"/>
        </w:rPr>
        <w:t xml:space="preserve"> en troskabserklæring, der i det væsentlige svarer til både indholdet af rumaflytning af 20. april 2020 samt indholdet af PDF-filen fra tiltaltes telefon. Det er ubestridt, at det er tiltalte, der ses på videoen. På videoen ses tiltalte iført træningstøj og hvid </w:t>
      </w:r>
      <w:proofErr w:type="spellStart"/>
      <w:r w:rsidRPr="00B57E9A">
        <w:rPr>
          <w:rFonts w:ascii="Times New Roman" w:hAnsi="Times New Roman" w:cs="Times New Roman"/>
          <w:sz w:val="24"/>
          <w:szCs w:val="24"/>
        </w:rPr>
        <w:t>bedehue</w:t>
      </w:r>
      <w:proofErr w:type="spellEnd"/>
      <w:r w:rsidRPr="00B57E9A">
        <w:rPr>
          <w:rFonts w:ascii="Times New Roman" w:hAnsi="Times New Roman" w:cs="Times New Roman"/>
          <w:sz w:val="24"/>
          <w:szCs w:val="24"/>
        </w:rPr>
        <w:t>. I baggrunden ses en AK-47-riffel samt to flag. Riflen og flagene svarer til attrappen/</w:t>
      </w:r>
      <w:proofErr w:type="spellStart"/>
      <w:r w:rsidRPr="00B57E9A">
        <w:rPr>
          <w:rFonts w:ascii="Times New Roman" w:hAnsi="Times New Roman" w:cs="Times New Roman"/>
          <w:sz w:val="24"/>
          <w:szCs w:val="24"/>
        </w:rPr>
        <w:t>hardball</w:t>
      </w:r>
      <w:proofErr w:type="spellEnd"/>
      <w:r w:rsidRPr="00B57E9A">
        <w:rPr>
          <w:rFonts w:ascii="Times New Roman" w:hAnsi="Times New Roman" w:cs="Times New Roman"/>
          <w:sz w:val="24"/>
          <w:szCs w:val="24"/>
        </w:rPr>
        <w:t>-geværet og de flag, som politiet fandt under ransagningen den 30. april 2020.</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I korrespondancen med agentprofilen 474A sympatiserer tiltalte med Islamisk Stat og militant islamisme samt udtrykker et ønske om martyrdøden, ligesom han omtaler specifikke terrorangreb så som Omar El-Husseins. Af korrespondancen fremgår ligeledes en angivelse af tiltaltes overvejelser om mulige mål samt en konkret efterspørgsel på våben.</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Af rumaflytningen fremgår </w:t>
      </w:r>
      <w:proofErr w:type="gramStart"/>
      <w:r w:rsidRPr="00B57E9A">
        <w:rPr>
          <w:rFonts w:ascii="Times New Roman" w:hAnsi="Times New Roman" w:cs="Times New Roman"/>
          <w:sz w:val="24"/>
          <w:szCs w:val="24"/>
        </w:rPr>
        <w:t>endvidere</w:t>
      </w:r>
      <w:proofErr w:type="gramEnd"/>
      <w:r w:rsidRPr="00B57E9A">
        <w:rPr>
          <w:rFonts w:ascii="Times New Roman" w:hAnsi="Times New Roman" w:cs="Times New Roman"/>
          <w:sz w:val="24"/>
          <w:szCs w:val="24"/>
        </w:rPr>
        <w:t>, at tiltalte i perioden fra den 26. til den 27. april 2020 afspillede YouTube-videoer vedrørende betjening af håndvåben, herunder pistoler af typen Glock17.</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På ovennævnte baggrund finder retten det bevist, at tiltalte forud for anholdelsen var radikaliseret og sympatiserede med Islamisk Stat og militant islamisme. </w:t>
      </w:r>
      <w:proofErr w:type="gramStart"/>
      <w:r w:rsidRPr="00B57E9A">
        <w:rPr>
          <w:rFonts w:ascii="Times New Roman" w:hAnsi="Times New Roman" w:cs="Times New Roman"/>
          <w:sz w:val="24"/>
          <w:szCs w:val="24"/>
        </w:rPr>
        <w:t>Endvidere</w:t>
      </w:r>
      <w:proofErr w:type="gramEnd"/>
      <w:r w:rsidRPr="00B57E9A">
        <w:rPr>
          <w:rFonts w:ascii="Times New Roman" w:hAnsi="Times New Roman" w:cs="Times New Roman"/>
          <w:sz w:val="24"/>
          <w:szCs w:val="24"/>
        </w:rPr>
        <w:t xml:space="preserve"> lægger retten til grund, at tiltalte op til anholdelsen sværgede troskab til Islamisk Stat og dets leder Abu Ibrahim al-</w:t>
      </w:r>
      <w:proofErr w:type="spellStart"/>
      <w:r w:rsidRPr="00B57E9A">
        <w:rPr>
          <w:rFonts w:ascii="Times New Roman" w:hAnsi="Times New Roman" w:cs="Times New Roman"/>
          <w:sz w:val="24"/>
          <w:szCs w:val="24"/>
        </w:rPr>
        <w:t>Qurayshi</w:t>
      </w:r>
      <w:proofErr w:type="spellEnd"/>
      <w:r w:rsidRPr="00B57E9A">
        <w:rPr>
          <w:rFonts w:ascii="Times New Roman" w:hAnsi="Times New Roman" w:cs="Times New Roman"/>
          <w:sz w:val="24"/>
          <w:szCs w:val="24"/>
        </w:rPr>
        <w:t xml:space="preserve"> ved sin troskabserklæring. Ifølge forklaring afgivet af KF0310 ses troskabserklæringer ofte anvendt ved terrorhandlinger.</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På baggrund af karakteren af tiltaltes tilkendegivelser i korrespondancen med PET’s agenter, herunder tiltaltes specifikke efterspørgsel af våben med mange skud og flere magasiner og en direkte tilkendegivelse om, at tiltalte kunne udføre et angreb alene med </w:t>
      </w:r>
      <w:proofErr w:type="spellStart"/>
      <w:r w:rsidRPr="00B57E9A">
        <w:rPr>
          <w:rFonts w:ascii="Times New Roman" w:hAnsi="Times New Roman" w:cs="Times New Roman"/>
          <w:sz w:val="24"/>
          <w:szCs w:val="24"/>
        </w:rPr>
        <w:t>Glock’en</w:t>
      </w:r>
      <w:proofErr w:type="spellEnd"/>
      <w:r w:rsidRPr="00B57E9A">
        <w:rPr>
          <w:rFonts w:ascii="Times New Roman" w:hAnsi="Times New Roman" w:cs="Times New Roman"/>
          <w:sz w:val="24"/>
          <w:szCs w:val="24"/>
        </w:rPr>
        <w:t xml:space="preserve">, finder retten det bevist, at tiltalte erhvervede pistolen med forsæt til at begå en eller flere terrorhandlinger et ikke nærmere bestemt sted i Danmark eller udlandet som anført i </w:t>
      </w:r>
      <w:proofErr w:type="spellStart"/>
      <w:r w:rsidRPr="00B57E9A">
        <w:rPr>
          <w:rFonts w:ascii="Times New Roman" w:hAnsi="Times New Roman" w:cs="Times New Roman"/>
          <w:sz w:val="24"/>
          <w:szCs w:val="24"/>
        </w:rPr>
        <w:t>anklage-skriftet</w:t>
      </w:r>
      <w:proofErr w:type="spellEnd"/>
      <w:r w:rsidRPr="00B57E9A">
        <w:rPr>
          <w:rFonts w:ascii="Times New Roman" w:hAnsi="Times New Roman" w:cs="Times New Roman"/>
          <w:sz w:val="24"/>
          <w:szCs w:val="24"/>
        </w:rPr>
        <w:t>, hvilket mislykkedes på grund af anholdelsen af tiltalte.</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Retsplejelovens § 754 a-754 d om agentvirksomhed gælder ikke ved efterforskning af overtrædelser af blandt andet straffelovens § 114, jf. retsplejelovens § 754 e. </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Det følger imidlertid af dansk rets almindelige retsprincipper, at også anvendelse af agenter i forbindelse med sådan efterforskningsvirksomhed er betinget af, at der foreligger </w:t>
      </w:r>
      <w:proofErr w:type="gramStart"/>
      <w:r w:rsidRPr="00B57E9A">
        <w:rPr>
          <w:rFonts w:ascii="Times New Roman" w:hAnsi="Times New Roman" w:cs="Times New Roman"/>
          <w:sz w:val="24"/>
          <w:szCs w:val="24"/>
        </w:rPr>
        <w:t>fornøden</w:t>
      </w:r>
      <w:proofErr w:type="gramEnd"/>
      <w:r w:rsidRPr="00B57E9A">
        <w:rPr>
          <w:rFonts w:ascii="Times New Roman" w:hAnsi="Times New Roman" w:cs="Times New Roman"/>
          <w:sz w:val="24"/>
          <w:szCs w:val="24"/>
        </w:rPr>
        <w:t xml:space="preserve"> mistanke, ligesom indsættelsen af agenter ikke må bevirke en forøgelse af lovovertrædelsens omfang eller grovhed. </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På ovennævnte baggrund finder retten </w:t>
      </w:r>
      <w:proofErr w:type="gramStart"/>
      <w:r w:rsidRPr="00B57E9A">
        <w:rPr>
          <w:rFonts w:ascii="Times New Roman" w:hAnsi="Times New Roman" w:cs="Times New Roman"/>
          <w:sz w:val="24"/>
          <w:szCs w:val="24"/>
        </w:rPr>
        <w:t>endvidere</w:t>
      </w:r>
      <w:proofErr w:type="gramEnd"/>
      <w:r w:rsidRPr="00B57E9A">
        <w:rPr>
          <w:rFonts w:ascii="Times New Roman" w:hAnsi="Times New Roman" w:cs="Times New Roman"/>
          <w:sz w:val="24"/>
          <w:szCs w:val="24"/>
        </w:rPr>
        <w:t xml:space="preserve">, at der ved indsættelsen af agenterne var den fornødne mistanke om forsøg på overtrædelse af straffelovens § 114, hvorfor det var berettiget at indsætte disse. Det forhold, at den formelle godkendelse til indsættelse af agenter først forelå den 28. april 2020, kan ikke føre til et andet resultat. </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Retten finder </w:t>
      </w:r>
      <w:proofErr w:type="gramStart"/>
      <w:r w:rsidRPr="00B57E9A">
        <w:rPr>
          <w:rFonts w:ascii="Times New Roman" w:hAnsi="Times New Roman" w:cs="Times New Roman"/>
          <w:sz w:val="24"/>
          <w:szCs w:val="24"/>
        </w:rPr>
        <w:t>endvidere</w:t>
      </w:r>
      <w:proofErr w:type="gramEnd"/>
      <w:r w:rsidRPr="00B57E9A">
        <w:rPr>
          <w:rFonts w:ascii="Times New Roman" w:hAnsi="Times New Roman" w:cs="Times New Roman"/>
          <w:sz w:val="24"/>
          <w:szCs w:val="24"/>
        </w:rPr>
        <w:t xml:space="preserve">, at aftalen om køb af pistolen kom i stand alene på tiltaltes initiativ, og at tiltalte af egen drift rettede henvendelse til den person, som den PET-kontrollerede agentprofil, agent 474A, havde oplyst, kunne sælge våben til tiltalte. Retten bemærker </w:t>
      </w:r>
      <w:proofErr w:type="gramStart"/>
      <w:r w:rsidRPr="00B57E9A">
        <w:rPr>
          <w:rFonts w:ascii="Times New Roman" w:hAnsi="Times New Roman" w:cs="Times New Roman"/>
          <w:sz w:val="24"/>
          <w:szCs w:val="24"/>
        </w:rPr>
        <w:t>endvidere</w:t>
      </w:r>
      <w:proofErr w:type="gramEnd"/>
      <w:r w:rsidRPr="00B57E9A">
        <w:rPr>
          <w:rFonts w:ascii="Times New Roman" w:hAnsi="Times New Roman" w:cs="Times New Roman"/>
          <w:sz w:val="24"/>
          <w:szCs w:val="24"/>
        </w:rPr>
        <w:t xml:space="preserve">, at tiltalte alene </w:t>
      </w:r>
      <w:r w:rsidRPr="00B57E9A">
        <w:rPr>
          <w:rFonts w:ascii="Times New Roman" w:hAnsi="Times New Roman" w:cs="Times New Roman"/>
          <w:sz w:val="24"/>
          <w:szCs w:val="24"/>
        </w:rPr>
        <w:lastRenderedPageBreak/>
        <w:t xml:space="preserve">fik udleveret en pistol med tilhørende ammunition og magasiner på trods af en oprindelig efterspørgsel på både pistol og AK-47. </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Herefter, og på baggrund af indholdet af korrespondancen og sagens oplysninger i øvrigt, finder retten ikke, at der er grundlag for at antage, at PET’s agenters deltagelse i korrespondancen har medført en forøgelse af lovovertrædelsens omfang eller grovhed. </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Retten finder herefter, at tiltalte er skyldig i overensstemmelse med tiltalen.</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b/>
          <w:bCs/>
          <w:sz w:val="24"/>
          <w:szCs w:val="24"/>
        </w:rPr>
      </w:pPr>
      <w:r w:rsidRPr="00B57E9A">
        <w:rPr>
          <w:rFonts w:ascii="Times New Roman" w:hAnsi="Times New Roman" w:cs="Times New Roman"/>
          <w:b/>
          <w:bCs/>
          <w:sz w:val="24"/>
          <w:szCs w:val="24"/>
        </w:rPr>
        <w:t>Forhold 2:</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Efter den af vidnet </w:t>
      </w:r>
      <w:r>
        <w:rPr>
          <w:rFonts w:ascii="Times New Roman" w:hAnsi="Times New Roman" w:cs="Times New Roman"/>
          <w:sz w:val="24"/>
          <w:szCs w:val="24"/>
        </w:rPr>
        <w:t>XXX</w:t>
      </w:r>
      <w:r w:rsidRPr="00B57E9A">
        <w:rPr>
          <w:rFonts w:ascii="Times New Roman" w:hAnsi="Times New Roman" w:cs="Times New Roman"/>
          <w:sz w:val="24"/>
          <w:szCs w:val="24"/>
        </w:rPr>
        <w:t xml:space="preserve"> afgivne forklaring, sammenholdt med den afspillede video og agent KF052’s forklaring, finder retten det bevist, at tiltalte tildelte </w:t>
      </w:r>
      <w:r>
        <w:rPr>
          <w:rFonts w:ascii="Times New Roman" w:hAnsi="Times New Roman" w:cs="Times New Roman"/>
          <w:sz w:val="24"/>
          <w:szCs w:val="24"/>
        </w:rPr>
        <w:t>XXX</w:t>
      </w:r>
      <w:r w:rsidRPr="00B57E9A">
        <w:rPr>
          <w:rFonts w:ascii="Times New Roman" w:hAnsi="Times New Roman" w:cs="Times New Roman"/>
          <w:sz w:val="24"/>
          <w:szCs w:val="24"/>
        </w:rPr>
        <w:t xml:space="preserve"> et slag med knyttet hånd på halsen. Da tiltalte tidligere er straffet for forsætligt legemsangreb eller en forbrydelse, der har været forbundet med forsætlig vold, er tiltalte herefter skyldig i forhold 2.</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b/>
          <w:bCs/>
          <w:sz w:val="24"/>
          <w:szCs w:val="24"/>
        </w:rPr>
      </w:pPr>
      <w:r w:rsidRPr="00B57E9A">
        <w:rPr>
          <w:rFonts w:ascii="Times New Roman" w:hAnsi="Times New Roman" w:cs="Times New Roman"/>
          <w:b/>
          <w:bCs/>
          <w:sz w:val="24"/>
          <w:szCs w:val="24"/>
        </w:rPr>
        <w:t>Forhold 3:</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Retten finder ikke, at der foreligger det til domfældelse </w:t>
      </w:r>
      <w:proofErr w:type="gramStart"/>
      <w:r w:rsidRPr="00B57E9A">
        <w:rPr>
          <w:rFonts w:ascii="Times New Roman" w:hAnsi="Times New Roman" w:cs="Times New Roman"/>
          <w:sz w:val="24"/>
          <w:szCs w:val="24"/>
        </w:rPr>
        <w:t>fornødne</w:t>
      </w:r>
      <w:proofErr w:type="gramEnd"/>
      <w:r w:rsidRPr="00B57E9A">
        <w:rPr>
          <w:rFonts w:ascii="Times New Roman" w:hAnsi="Times New Roman" w:cs="Times New Roman"/>
          <w:sz w:val="24"/>
          <w:szCs w:val="24"/>
        </w:rPr>
        <w:t xml:space="preserve"> bevis for, at tiltalte har gjort sig skyldig i den rejste tiltale, hvorfor han frifindes i sagens forhold 3.</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Tiltalte er herefter skyldig i forhold 1 og 2, jf. retsplejelovens § 891, stk. 4.</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b/>
          <w:bCs/>
          <w:sz w:val="24"/>
          <w:szCs w:val="24"/>
        </w:rPr>
      </w:pPr>
      <w:r w:rsidRPr="00B57E9A">
        <w:rPr>
          <w:rFonts w:ascii="Times New Roman" w:hAnsi="Times New Roman" w:cs="Times New Roman"/>
          <w:b/>
          <w:bCs/>
          <w:sz w:val="24"/>
          <w:szCs w:val="24"/>
        </w:rPr>
        <w:t>Derfor bestemmes:</w:t>
      </w: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p>
    <w:p w:rsidR="00B57E9A" w:rsidRPr="00B57E9A" w:rsidRDefault="00B57E9A" w:rsidP="00B57E9A">
      <w:pPr>
        <w:autoSpaceDE w:val="0"/>
        <w:autoSpaceDN w:val="0"/>
        <w:adjustRightInd w:val="0"/>
        <w:spacing w:after="0" w:line="247" w:lineRule="atLeast"/>
        <w:rPr>
          <w:rFonts w:ascii="Times New Roman" w:hAnsi="Times New Roman" w:cs="Times New Roman"/>
          <w:sz w:val="24"/>
          <w:szCs w:val="24"/>
        </w:rPr>
      </w:pPr>
      <w:r w:rsidRPr="00B57E9A">
        <w:rPr>
          <w:rFonts w:ascii="Times New Roman" w:hAnsi="Times New Roman" w:cs="Times New Roman"/>
          <w:sz w:val="24"/>
          <w:szCs w:val="24"/>
        </w:rPr>
        <w:t xml:space="preserve">Tiltalte </w:t>
      </w:r>
      <w:r>
        <w:rPr>
          <w:rFonts w:ascii="Times New Roman" w:hAnsi="Times New Roman" w:cs="Times New Roman"/>
          <w:sz w:val="24"/>
          <w:szCs w:val="24"/>
        </w:rPr>
        <w:t>AAA</w:t>
      </w:r>
      <w:r w:rsidRPr="00B57E9A">
        <w:rPr>
          <w:rFonts w:ascii="Times New Roman" w:hAnsi="Times New Roman" w:cs="Times New Roman"/>
          <w:sz w:val="24"/>
          <w:szCs w:val="24"/>
        </w:rPr>
        <w:t xml:space="preserve"> er skyldig i overtrædelse af straffelovens § 114, stk. 1, nr. 1, nr. 2 og nr. 6, jf. § 21, og § 244, jf. § 247, stk. 1.</w:t>
      </w:r>
    </w:p>
    <w:sectPr w:rsidR="00B57E9A" w:rsidRPr="00B57E9A" w:rsidSect="00B57E9A">
      <w:pgSz w:w="11905" w:h="16837"/>
      <w:pgMar w:top="1700" w:right="1133" w:bottom="1700" w:left="113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9A"/>
    <w:rsid w:val="00000364"/>
    <w:rsid w:val="00006F1E"/>
    <w:rsid w:val="00007C57"/>
    <w:rsid w:val="0002751F"/>
    <w:rsid w:val="000416EC"/>
    <w:rsid w:val="00042F1B"/>
    <w:rsid w:val="00056DA0"/>
    <w:rsid w:val="0007084E"/>
    <w:rsid w:val="000756F7"/>
    <w:rsid w:val="000958E9"/>
    <w:rsid w:val="000A1C88"/>
    <w:rsid w:val="000A47C1"/>
    <w:rsid w:val="000B51B3"/>
    <w:rsid w:val="000C6292"/>
    <w:rsid w:val="000E3F13"/>
    <w:rsid w:val="000E4E53"/>
    <w:rsid w:val="000E6B51"/>
    <w:rsid w:val="000E6D10"/>
    <w:rsid w:val="00100250"/>
    <w:rsid w:val="00105D9B"/>
    <w:rsid w:val="00114227"/>
    <w:rsid w:val="0013255B"/>
    <w:rsid w:val="00145D88"/>
    <w:rsid w:val="00181619"/>
    <w:rsid w:val="00182C96"/>
    <w:rsid w:val="001A156C"/>
    <w:rsid w:val="001C689E"/>
    <w:rsid w:val="001C7E78"/>
    <w:rsid w:val="001D5810"/>
    <w:rsid w:val="001D6FC4"/>
    <w:rsid w:val="001D70AC"/>
    <w:rsid w:val="001D70B0"/>
    <w:rsid w:val="001F26D7"/>
    <w:rsid w:val="001F5D05"/>
    <w:rsid w:val="002006D8"/>
    <w:rsid w:val="00210356"/>
    <w:rsid w:val="00227C8A"/>
    <w:rsid w:val="00235099"/>
    <w:rsid w:val="00240B6E"/>
    <w:rsid w:val="00242D57"/>
    <w:rsid w:val="00254325"/>
    <w:rsid w:val="00285FB0"/>
    <w:rsid w:val="002902D9"/>
    <w:rsid w:val="002B18FB"/>
    <w:rsid w:val="002E25C7"/>
    <w:rsid w:val="002E26C4"/>
    <w:rsid w:val="002F11D4"/>
    <w:rsid w:val="002F7A66"/>
    <w:rsid w:val="00314C4D"/>
    <w:rsid w:val="003214E2"/>
    <w:rsid w:val="00325EE2"/>
    <w:rsid w:val="00330DBD"/>
    <w:rsid w:val="00350FCE"/>
    <w:rsid w:val="0035155E"/>
    <w:rsid w:val="003542AE"/>
    <w:rsid w:val="00354A68"/>
    <w:rsid w:val="003568E7"/>
    <w:rsid w:val="00372920"/>
    <w:rsid w:val="00376865"/>
    <w:rsid w:val="003A0174"/>
    <w:rsid w:val="003B2026"/>
    <w:rsid w:val="003B2BF9"/>
    <w:rsid w:val="003B3381"/>
    <w:rsid w:val="003B6120"/>
    <w:rsid w:val="003D2851"/>
    <w:rsid w:val="003D3721"/>
    <w:rsid w:val="003E559E"/>
    <w:rsid w:val="00405B16"/>
    <w:rsid w:val="00406122"/>
    <w:rsid w:val="004071FA"/>
    <w:rsid w:val="0041392B"/>
    <w:rsid w:val="00421B65"/>
    <w:rsid w:val="0042364C"/>
    <w:rsid w:val="00425D60"/>
    <w:rsid w:val="004411C0"/>
    <w:rsid w:val="00447A7E"/>
    <w:rsid w:val="00453DBE"/>
    <w:rsid w:val="00473E9D"/>
    <w:rsid w:val="00476FCF"/>
    <w:rsid w:val="00482F8B"/>
    <w:rsid w:val="004926EE"/>
    <w:rsid w:val="004A1B51"/>
    <w:rsid w:val="004B0203"/>
    <w:rsid w:val="004D3EA9"/>
    <w:rsid w:val="004D7EFD"/>
    <w:rsid w:val="004E7F9E"/>
    <w:rsid w:val="00507D00"/>
    <w:rsid w:val="005109B1"/>
    <w:rsid w:val="00515D13"/>
    <w:rsid w:val="00516204"/>
    <w:rsid w:val="00526F03"/>
    <w:rsid w:val="005273E6"/>
    <w:rsid w:val="00573FF5"/>
    <w:rsid w:val="00587E4E"/>
    <w:rsid w:val="005A1863"/>
    <w:rsid w:val="005B2643"/>
    <w:rsid w:val="005B27F9"/>
    <w:rsid w:val="005E29D4"/>
    <w:rsid w:val="005E4F74"/>
    <w:rsid w:val="00602A25"/>
    <w:rsid w:val="00605274"/>
    <w:rsid w:val="00614A56"/>
    <w:rsid w:val="00614F79"/>
    <w:rsid w:val="006162DB"/>
    <w:rsid w:val="0061732F"/>
    <w:rsid w:val="00620BFA"/>
    <w:rsid w:val="00622E47"/>
    <w:rsid w:val="006259AA"/>
    <w:rsid w:val="00627171"/>
    <w:rsid w:val="00630DD1"/>
    <w:rsid w:val="006355AF"/>
    <w:rsid w:val="00655BB7"/>
    <w:rsid w:val="006570D7"/>
    <w:rsid w:val="00662551"/>
    <w:rsid w:val="00676EC0"/>
    <w:rsid w:val="006F10FD"/>
    <w:rsid w:val="006F18C1"/>
    <w:rsid w:val="006F589F"/>
    <w:rsid w:val="00702B7B"/>
    <w:rsid w:val="00725E3E"/>
    <w:rsid w:val="007347EB"/>
    <w:rsid w:val="007423E3"/>
    <w:rsid w:val="0074355D"/>
    <w:rsid w:val="00755CF9"/>
    <w:rsid w:val="00762086"/>
    <w:rsid w:val="007669C3"/>
    <w:rsid w:val="00771D78"/>
    <w:rsid w:val="00777A7D"/>
    <w:rsid w:val="00782710"/>
    <w:rsid w:val="0078684E"/>
    <w:rsid w:val="007B2D87"/>
    <w:rsid w:val="007B57AD"/>
    <w:rsid w:val="007D0BB5"/>
    <w:rsid w:val="007E636A"/>
    <w:rsid w:val="007F40B8"/>
    <w:rsid w:val="008027FD"/>
    <w:rsid w:val="00814570"/>
    <w:rsid w:val="00833878"/>
    <w:rsid w:val="00853574"/>
    <w:rsid w:val="00856858"/>
    <w:rsid w:val="008877EA"/>
    <w:rsid w:val="00887D6A"/>
    <w:rsid w:val="008A0A23"/>
    <w:rsid w:val="008B3EF1"/>
    <w:rsid w:val="008C3F74"/>
    <w:rsid w:val="008C4C5E"/>
    <w:rsid w:val="008E306F"/>
    <w:rsid w:val="008E78EF"/>
    <w:rsid w:val="009101D9"/>
    <w:rsid w:val="009173E1"/>
    <w:rsid w:val="00933E20"/>
    <w:rsid w:val="00933F95"/>
    <w:rsid w:val="009507DF"/>
    <w:rsid w:val="00956125"/>
    <w:rsid w:val="00960226"/>
    <w:rsid w:val="00962A8E"/>
    <w:rsid w:val="00967691"/>
    <w:rsid w:val="00972BEF"/>
    <w:rsid w:val="009A2BC3"/>
    <w:rsid w:val="009B7E5D"/>
    <w:rsid w:val="009C59E1"/>
    <w:rsid w:val="009D4F18"/>
    <w:rsid w:val="009F1CB3"/>
    <w:rsid w:val="009F3CA1"/>
    <w:rsid w:val="00A03664"/>
    <w:rsid w:val="00A517AB"/>
    <w:rsid w:val="00A746E0"/>
    <w:rsid w:val="00A8793B"/>
    <w:rsid w:val="00A90A5A"/>
    <w:rsid w:val="00AB0881"/>
    <w:rsid w:val="00AD52F8"/>
    <w:rsid w:val="00AD73BC"/>
    <w:rsid w:val="00AE3F53"/>
    <w:rsid w:val="00AF6756"/>
    <w:rsid w:val="00B03750"/>
    <w:rsid w:val="00B33CFA"/>
    <w:rsid w:val="00B43F89"/>
    <w:rsid w:val="00B447AE"/>
    <w:rsid w:val="00B50A9D"/>
    <w:rsid w:val="00B57E9A"/>
    <w:rsid w:val="00B944D7"/>
    <w:rsid w:val="00B9780F"/>
    <w:rsid w:val="00BA323E"/>
    <w:rsid w:val="00BB4ADF"/>
    <w:rsid w:val="00BB7873"/>
    <w:rsid w:val="00BD0663"/>
    <w:rsid w:val="00BD55AA"/>
    <w:rsid w:val="00BD7CD5"/>
    <w:rsid w:val="00BE0988"/>
    <w:rsid w:val="00BE1390"/>
    <w:rsid w:val="00BE39F7"/>
    <w:rsid w:val="00C15A4C"/>
    <w:rsid w:val="00C40B4F"/>
    <w:rsid w:val="00C40B95"/>
    <w:rsid w:val="00C5328D"/>
    <w:rsid w:val="00C7216A"/>
    <w:rsid w:val="00C82845"/>
    <w:rsid w:val="00C86C3B"/>
    <w:rsid w:val="00CB0112"/>
    <w:rsid w:val="00CB1AF5"/>
    <w:rsid w:val="00CC0AEB"/>
    <w:rsid w:val="00D127F3"/>
    <w:rsid w:val="00D154DE"/>
    <w:rsid w:val="00D2555D"/>
    <w:rsid w:val="00D33ACD"/>
    <w:rsid w:val="00D33B72"/>
    <w:rsid w:val="00D44B1E"/>
    <w:rsid w:val="00D52B5B"/>
    <w:rsid w:val="00D53FCA"/>
    <w:rsid w:val="00D545EA"/>
    <w:rsid w:val="00D6335E"/>
    <w:rsid w:val="00D72F31"/>
    <w:rsid w:val="00D86A3C"/>
    <w:rsid w:val="00D95D38"/>
    <w:rsid w:val="00DB071A"/>
    <w:rsid w:val="00DD78EA"/>
    <w:rsid w:val="00DF0CE7"/>
    <w:rsid w:val="00E0029F"/>
    <w:rsid w:val="00E03641"/>
    <w:rsid w:val="00E957DE"/>
    <w:rsid w:val="00EA054E"/>
    <w:rsid w:val="00EC2091"/>
    <w:rsid w:val="00EF1866"/>
    <w:rsid w:val="00EF35D9"/>
    <w:rsid w:val="00EF5899"/>
    <w:rsid w:val="00F11606"/>
    <w:rsid w:val="00F1418B"/>
    <w:rsid w:val="00F1696A"/>
    <w:rsid w:val="00F22A76"/>
    <w:rsid w:val="00F25AE9"/>
    <w:rsid w:val="00F4354F"/>
    <w:rsid w:val="00F50594"/>
    <w:rsid w:val="00F53BFD"/>
    <w:rsid w:val="00F84B97"/>
    <w:rsid w:val="00F96E1F"/>
    <w:rsid w:val="00FA37AA"/>
    <w:rsid w:val="00FA48F1"/>
    <w:rsid w:val="00FB3DE1"/>
    <w:rsid w:val="00FB7F11"/>
    <w:rsid w:val="00FD1DE8"/>
    <w:rsid w:val="00FE1E3C"/>
    <w:rsid w:val="00FF6366"/>
    <w:rsid w:val="00FF6C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B9DC"/>
  <w15:chartTrackingRefBased/>
  <w15:docId w15:val="{84AA8220-E9BA-463C-BCD0-201A1CE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5793C-3623-4B72-A440-B616B1A8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6725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Ellegaard</dc:creator>
  <cp:keywords/>
  <dc:description/>
  <cp:lastModifiedBy>Pia Ellegaard</cp:lastModifiedBy>
  <cp:revision>1</cp:revision>
  <dcterms:created xsi:type="dcterms:W3CDTF">2021-09-28T08:40:00Z</dcterms:created>
  <dcterms:modified xsi:type="dcterms:W3CDTF">2021-09-28T08:44:00Z</dcterms:modified>
</cp:coreProperties>
</file>