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03F30" w14:textId="60CCCF81" w:rsidR="00E301CE" w:rsidRDefault="00717621" w:rsidP="00CB2AF0">
      <w:pPr>
        <w:pStyle w:val="Ingenafstand"/>
        <w:spacing w:before="1540" w:after="240"/>
        <w:jc w:val="center"/>
        <w:rPr>
          <w:color w:val="4F81BD" w:themeColor="accent1"/>
        </w:rPr>
      </w:pPr>
      <w:r>
        <w:rPr>
          <w:noProof/>
        </w:rPr>
        <w:drawing>
          <wp:anchor distT="0" distB="0" distL="114300" distR="114300" simplePos="0" relativeHeight="251661312" behindDoc="0" locked="0" layoutInCell="1" allowOverlap="1" wp14:anchorId="5D2EB663" wp14:editId="5D1A693E">
            <wp:simplePos x="0" y="0"/>
            <wp:positionH relativeFrom="column">
              <wp:posOffset>3620135</wp:posOffset>
            </wp:positionH>
            <wp:positionV relativeFrom="paragraph">
              <wp:posOffset>4519295</wp:posOffset>
            </wp:positionV>
            <wp:extent cx="1279592" cy="1009650"/>
            <wp:effectExtent l="0" t="0" r="0" b="0"/>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9592"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60F3">
        <w:rPr>
          <w:noProof/>
          <w:color w:val="4F81BD" w:themeColor="accent1"/>
        </w:rPr>
        <mc:AlternateContent>
          <mc:Choice Requires="wps">
            <w:drawing>
              <wp:anchor distT="91440" distB="91440" distL="114300" distR="114300" simplePos="0" relativeHeight="251663360" behindDoc="0" locked="0" layoutInCell="1" allowOverlap="1" wp14:anchorId="6492F73C" wp14:editId="68AB11AC">
                <wp:simplePos x="0" y="0"/>
                <wp:positionH relativeFrom="margin">
                  <wp:posOffset>358140</wp:posOffset>
                </wp:positionH>
                <wp:positionV relativeFrom="paragraph">
                  <wp:posOffset>635000</wp:posOffset>
                </wp:positionV>
                <wp:extent cx="7814945" cy="1403985"/>
                <wp:effectExtent l="0" t="0" r="0" b="0"/>
                <wp:wrapTopAndBottom/>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4945" cy="1403985"/>
                        </a:xfrm>
                        <a:prstGeom prst="rect">
                          <a:avLst/>
                        </a:prstGeom>
                        <a:noFill/>
                        <a:ln w="9525">
                          <a:noFill/>
                          <a:miter lim="800000"/>
                          <a:headEnd/>
                          <a:tailEnd/>
                        </a:ln>
                      </wps:spPr>
                      <wps:txbx>
                        <w:txbxContent>
                          <w:p w14:paraId="2D603F3F" w14:textId="77777777" w:rsidR="00717621" w:rsidRPr="00717621" w:rsidRDefault="009060F3" w:rsidP="00717621">
                            <w:pPr>
                              <w:spacing w:line="240" w:lineRule="auto"/>
                              <w:jc w:val="center"/>
                              <w:rPr>
                                <w:rFonts w:ascii="Georgia" w:hAnsi="Georgia" w:cs="Arial"/>
                                <w:color w:val="FFFFFF" w:themeColor="background1"/>
                                <w:sz w:val="96"/>
                                <w:szCs w:val="96"/>
                              </w:rPr>
                            </w:pPr>
                            <w:r w:rsidRPr="00717621">
                              <w:rPr>
                                <w:rFonts w:ascii="Georgia" w:hAnsi="Georgia" w:cs="Arial"/>
                                <w:b/>
                                <w:color w:val="FFFFFF" w:themeColor="background1"/>
                                <w:sz w:val="96"/>
                                <w:szCs w:val="96"/>
                              </w:rPr>
                              <w:t>HANDLINGSPLAN 2022</w:t>
                            </w:r>
                          </w:p>
                          <w:p w14:paraId="1085E591" w14:textId="376587BD" w:rsidR="009060F3" w:rsidRPr="00717621" w:rsidRDefault="009060F3" w:rsidP="00717621">
                            <w:pPr>
                              <w:spacing w:line="240" w:lineRule="auto"/>
                              <w:jc w:val="center"/>
                              <w:rPr>
                                <w:rFonts w:ascii="Georgia" w:hAnsi="Georgia" w:cs="Arial"/>
                                <w:color w:val="FFFFFF" w:themeColor="background1"/>
                                <w:sz w:val="96"/>
                                <w:szCs w:val="96"/>
                              </w:rPr>
                            </w:pPr>
                            <w:r w:rsidRPr="00717621">
                              <w:rPr>
                                <w:rFonts w:ascii="Georgia" w:hAnsi="Georgia" w:cs="Arial"/>
                                <w:b/>
                                <w:color w:val="FFFFFF" w:themeColor="background1"/>
                                <w:sz w:val="96"/>
                                <w:szCs w:val="96"/>
                              </w:rPr>
                              <w:t>RETTEN I</w:t>
                            </w:r>
                            <w:r w:rsidR="00D94AFD">
                              <w:rPr>
                                <w:rFonts w:ascii="Georgia" w:hAnsi="Georgia" w:cs="Arial"/>
                                <w:b/>
                                <w:color w:val="FFFFFF" w:themeColor="background1"/>
                                <w:sz w:val="96"/>
                                <w:szCs w:val="96"/>
                              </w:rPr>
                              <w:t xml:space="preserve"> HOLSTEBRO</w:t>
                            </w:r>
                          </w:p>
                          <w:p w14:paraId="7BC49F13" w14:textId="77777777" w:rsidR="009060F3" w:rsidRPr="009060F3" w:rsidRDefault="009060F3" w:rsidP="00717621">
                            <w:pPr>
                              <w:spacing w:line="240" w:lineRule="auto"/>
                              <w:jc w:val="center"/>
                              <w:rPr>
                                <w:rFonts w:ascii="Georgia" w:hAnsi="Georgia" w:cs="Arial"/>
                                <w:b/>
                                <w:color w:val="FFFFFF" w:themeColor="background1"/>
                                <w:sz w:val="56"/>
                                <w:szCs w:val="56"/>
                              </w:rPr>
                            </w:pPr>
                          </w:p>
                          <w:p w14:paraId="39F16C4E" w14:textId="57D98599" w:rsidR="009060F3" w:rsidRPr="009060F3" w:rsidRDefault="009060F3" w:rsidP="00D94AFD">
                            <w:pPr>
                              <w:spacing w:line="240" w:lineRule="auto"/>
                              <w:rPr>
                                <w:rFonts w:ascii="Georgia" w:hAnsi="Georgia" w:cs="Arial"/>
                                <w:color w:val="FFFFFF" w:themeColor="background1"/>
                                <w:sz w:val="40"/>
                                <w:szCs w:val="4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92F73C" id="_x0000_t202" coordsize="21600,21600" o:spt="202" path="m,l,21600r21600,l21600,xe">
                <v:stroke joinstyle="miter"/>
                <v:path gradientshapeok="t" o:connecttype="rect"/>
              </v:shapetype>
              <v:shape id="Tekstfelt 2" o:spid="_x0000_s1026" type="#_x0000_t202" style="position:absolute;left:0;text-align:left;margin-left:28.2pt;margin-top:50pt;width:615.35pt;height:110.55pt;z-index:251663360;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" filled="f" stroked="f">
                <v:textbox style="mso-fit-shape-to-text:t">
                  <w:txbxContent>
                    <w:p w14:paraId="2D603F3F" w14:textId="77777777" w:rsidR="00717621" w:rsidRPr="00717621" w:rsidRDefault="009060F3" w:rsidP="00717621">
                      <w:pPr>
                        <w:spacing w:line="240" w:lineRule="auto"/>
                        <w:jc w:val="center"/>
                        <w:rPr>
                          <w:rFonts w:ascii="Georgia" w:hAnsi="Georgia" w:cs="Arial"/>
                          <w:color w:val="FFFFFF" w:themeColor="background1"/>
                          <w:sz w:val="96"/>
                          <w:szCs w:val="96"/>
                        </w:rPr>
                      </w:pPr>
                      <w:r w:rsidRPr="00717621">
                        <w:rPr>
                          <w:rFonts w:ascii="Georgia" w:hAnsi="Georgia" w:cs="Arial"/>
                          <w:b/>
                          <w:color w:val="FFFFFF" w:themeColor="background1"/>
                          <w:sz w:val="96"/>
                          <w:szCs w:val="96"/>
                        </w:rPr>
                        <w:t>HANDLINGSPLAN 2022</w:t>
                      </w:r>
                    </w:p>
                    <w:p w14:paraId="1085E591" w14:textId="376587BD" w:rsidR="009060F3" w:rsidRPr="00717621" w:rsidRDefault="009060F3" w:rsidP="00717621">
                      <w:pPr>
                        <w:spacing w:line="240" w:lineRule="auto"/>
                        <w:jc w:val="center"/>
                        <w:rPr>
                          <w:rFonts w:ascii="Georgia" w:hAnsi="Georgia" w:cs="Arial"/>
                          <w:color w:val="FFFFFF" w:themeColor="background1"/>
                          <w:sz w:val="96"/>
                          <w:szCs w:val="96"/>
                        </w:rPr>
                      </w:pPr>
                      <w:r w:rsidRPr="00717621">
                        <w:rPr>
                          <w:rFonts w:ascii="Georgia" w:hAnsi="Georgia" w:cs="Arial"/>
                          <w:b/>
                          <w:color w:val="FFFFFF" w:themeColor="background1"/>
                          <w:sz w:val="96"/>
                          <w:szCs w:val="96"/>
                        </w:rPr>
                        <w:t>RETTEN I</w:t>
                      </w:r>
                      <w:r w:rsidR="00D94AFD">
                        <w:rPr>
                          <w:rFonts w:ascii="Georgia" w:hAnsi="Georgia" w:cs="Arial"/>
                          <w:b/>
                          <w:color w:val="FFFFFF" w:themeColor="background1"/>
                          <w:sz w:val="96"/>
                          <w:szCs w:val="96"/>
                        </w:rPr>
                        <w:t xml:space="preserve"> HOLSTEBRO</w:t>
                      </w:r>
                    </w:p>
                    <w:p w14:paraId="7BC49F13" w14:textId="77777777" w:rsidR="009060F3" w:rsidRPr="009060F3" w:rsidRDefault="009060F3" w:rsidP="00717621">
                      <w:pPr>
                        <w:spacing w:line="240" w:lineRule="auto"/>
                        <w:jc w:val="center"/>
                        <w:rPr>
                          <w:rFonts w:ascii="Georgia" w:hAnsi="Georgia" w:cs="Arial"/>
                          <w:b/>
                          <w:color w:val="FFFFFF" w:themeColor="background1"/>
                          <w:sz w:val="56"/>
                          <w:szCs w:val="56"/>
                        </w:rPr>
                      </w:pPr>
                    </w:p>
                    <w:p w14:paraId="39F16C4E" w14:textId="57D98599" w:rsidR="009060F3" w:rsidRPr="009060F3" w:rsidRDefault="009060F3" w:rsidP="00D94AFD">
                      <w:pPr>
                        <w:spacing w:line="240" w:lineRule="auto"/>
                        <w:rPr>
                          <w:rFonts w:ascii="Georgia" w:hAnsi="Georgia" w:cs="Arial"/>
                          <w:color w:val="FFFFFF" w:themeColor="background1"/>
                          <w:sz w:val="40"/>
                          <w:szCs w:val="40"/>
                        </w:rPr>
                      </w:pPr>
                    </w:p>
                  </w:txbxContent>
                </v:textbox>
                <w10:wrap type="topAndBottom" anchorx="margin"/>
              </v:shape>
            </w:pict>
          </mc:Fallback>
        </mc:AlternateContent>
      </w:r>
      <w:r w:rsidR="009060F3">
        <w:rPr>
          <w:noProof/>
        </w:rPr>
        <mc:AlternateContent>
          <mc:Choice Requires="wps">
            <w:drawing>
              <wp:anchor distT="0" distB="0" distL="114300" distR="114300" simplePos="0" relativeHeight="251660288" behindDoc="0" locked="0" layoutInCell="1" allowOverlap="1" wp14:anchorId="44F15F5C" wp14:editId="4D8515B7">
                <wp:simplePos x="0" y="0"/>
                <wp:positionH relativeFrom="page">
                  <wp:posOffset>5340096</wp:posOffset>
                </wp:positionH>
                <wp:positionV relativeFrom="paragraph">
                  <wp:posOffset>-1277239</wp:posOffset>
                </wp:positionV>
                <wp:extent cx="5364480" cy="8935720"/>
                <wp:effectExtent l="0" t="0" r="7620" b="0"/>
                <wp:wrapNone/>
                <wp:docPr id="8" name="Rektangel 8"/>
                <wp:cNvGraphicFramePr/>
                <a:graphic xmlns:a="http://schemas.openxmlformats.org/drawingml/2006/main">
                  <a:graphicData uri="http://schemas.microsoft.com/office/word/2010/wordprocessingShape">
                    <wps:wsp>
                      <wps:cNvSpPr/>
                      <wps:spPr>
                        <a:xfrm>
                          <a:off x="0" y="0"/>
                          <a:ext cx="5364480" cy="8935720"/>
                        </a:xfrm>
                        <a:prstGeom prst="rect">
                          <a:avLst/>
                        </a:prstGeom>
                        <a:solidFill>
                          <a:srgbClr val="C8AA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93BA6" id="Rektangel 8" o:spid="_x0000_s1026" style="position:absolute;margin-left:420.5pt;margin-top:-100.55pt;width:422.4pt;height:70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" fillcolor="#c8aa8c" stroked="f" strokeweight="2pt">
                <w10:wrap anchorx="page"/>
              </v:rect>
            </w:pict>
          </mc:Fallback>
        </mc:AlternateContent>
      </w:r>
      <w:r w:rsidR="00E301CE">
        <w:rPr>
          <w:noProof/>
        </w:rPr>
        <mc:AlternateContent>
          <mc:Choice Requires="wps">
            <w:drawing>
              <wp:anchor distT="0" distB="0" distL="114300" distR="114300" simplePos="0" relativeHeight="251659264" behindDoc="0" locked="0" layoutInCell="1" allowOverlap="1" wp14:anchorId="1C4F502D" wp14:editId="23597C28">
                <wp:simplePos x="0" y="0"/>
                <wp:positionH relativeFrom="column">
                  <wp:posOffset>-1055751</wp:posOffset>
                </wp:positionH>
                <wp:positionV relativeFrom="paragraph">
                  <wp:posOffset>-1252855</wp:posOffset>
                </wp:positionV>
                <wp:extent cx="5595620" cy="8851011"/>
                <wp:effectExtent l="0" t="0" r="24130" b="26670"/>
                <wp:wrapNone/>
                <wp:docPr id="7" name="Rektangel 7"/>
                <wp:cNvGraphicFramePr/>
                <a:graphic xmlns:a="http://schemas.openxmlformats.org/drawingml/2006/main">
                  <a:graphicData uri="http://schemas.microsoft.com/office/word/2010/wordprocessingShape">
                    <wps:wsp>
                      <wps:cNvSpPr/>
                      <wps:spPr>
                        <a:xfrm>
                          <a:off x="0" y="0"/>
                          <a:ext cx="5595620" cy="8851011"/>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37856F" id="Rektangel 7" o:spid="_x0000_s1026" style="position:absolute;margin-left:-83.15pt;margin-top:-98.65pt;width:440.6pt;height:69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" fillcolor="#002060" strokecolor="#243f60 [1604]" strokeweight="2pt"/>
            </w:pict>
          </mc:Fallback>
        </mc:AlternateContent>
      </w:r>
    </w:p>
    <w:p w14:paraId="4F84FBAB" w14:textId="6753EFA2" w:rsidR="009060F3" w:rsidRPr="009060F3" w:rsidRDefault="009060F3" w:rsidP="009060F3">
      <w:pPr>
        <w:pStyle w:val="Ingenafstand"/>
        <w:spacing w:before="1540" w:after="240"/>
        <w:jc w:val="center"/>
        <w:rPr>
          <w:color w:val="4F81BD" w:themeColor="accent1"/>
        </w:rPr>
      </w:pPr>
    </w:p>
    <w:p w14:paraId="580D6848" w14:textId="1154F7FF" w:rsidR="002E3040" w:rsidRDefault="0009199C" w:rsidP="00E8539C">
      <w:pPr>
        <w:spacing w:before="480"/>
      </w:pPr>
      <w:r w:rsidRPr="0063204A">
        <w:rPr>
          <w:rFonts w:cs="Arial"/>
          <w:b/>
          <w:sz w:val="24"/>
          <w:szCs w:val="24"/>
        </w:rPr>
        <w:t>Indledning</w:t>
      </w:r>
      <w:r w:rsidRPr="0009199C">
        <w:rPr>
          <w:rFonts w:ascii="Georgia" w:hAnsi="Georgia" w:cs="Times New Roman"/>
          <w:b/>
          <w:sz w:val="24"/>
          <w:szCs w:val="24"/>
        </w:rPr>
        <w:t xml:space="preserve"> </w:t>
      </w:r>
      <w:r w:rsidR="009060F3">
        <w:rPr>
          <w:rFonts w:ascii="Georgia" w:hAnsi="Georgia" w:cs="Times New Roman"/>
          <w:b/>
          <w:sz w:val="24"/>
          <w:szCs w:val="24"/>
        </w:rPr>
        <w:br/>
      </w:r>
      <w:r w:rsidR="00DC17E7" w:rsidRPr="009060F3">
        <w:rPr>
          <w:rFonts w:cs="Arial"/>
        </w:rPr>
        <w:t xml:space="preserve">Udgangspunktet for denne handlingsplan er </w:t>
      </w:r>
      <w:hyperlink r:id="rId10" w:history="1">
        <w:r w:rsidR="00DC17E7" w:rsidRPr="009060F3">
          <w:rPr>
            <w:rStyle w:val="Hyperlink"/>
            <w:rFonts w:cs="Arial"/>
          </w:rPr>
          <w:t>Danmarks Domstoles strategi for 2019-2022</w:t>
        </w:r>
      </w:hyperlink>
      <w:r w:rsidR="00DC17E7" w:rsidRPr="009060F3">
        <w:rPr>
          <w:rFonts w:cs="Arial"/>
        </w:rPr>
        <w:t xml:space="preserve"> og </w:t>
      </w:r>
      <w:hyperlink r:id="rId11" w:history="1">
        <w:r w:rsidR="002F7BB3" w:rsidRPr="009060F3">
          <w:rPr>
            <w:rStyle w:val="Hyperlink"/>
            <w:rFonts w:cs="Arial"/>
          </w:rPr>
          <w:t xml:space="preserve">Danmarks Domstoles </w:t>
        </w:r>
        <w:r w:rsidR="00DC17E7" w:rsidRPr="009060F3">
          <w:rPr>
            <w:rStyle w:val="Hyperlink"/>
            <w:rFonts w:cs="Arial"/>
          </w:rPr>
          <w:t xml:space="preserve">handlingsplan </w:t>
        </w:r>
        <w:r w:rsidR="00731126" w:rsidRPr="009060F3">
          <w:rPr>
            <w:rStyle w:val="Hyperlink"/>
            <w:rFonts w:cs="Arial"/>
          </w:rPr>
          <w:t>2022</w:t>
        </w:r>
      </w:hyperlink>
      <w:r w:rsidR="00DC17E7" w:rsidRPr="009060F3">
        <w:rPr>
          <w:rFonts w:cs="Arial"/>
        </w:rPr>
        <w:t>.</w:t>
      </w:r>
      <w:r w:rsidR="00DC17E7" w:rsidRPr="004223FA">
        <w:t xml:space="preserve"> </w:t>
      </w:r>
    </w:p>
    <w:p w14:paraId="03BAB646" w14:textId="77777777" w:rsidR="007270A3" w:rsidRPr="009060F3" w:rsidRDefault="007270A3" w:rsidP="007270A3">
      <w:pPr>
        <w:rPr>
          <w:rFonts w:cs="Arial"/>
        </w:rPr>
      </w:pPr>
    </w:p>
    <w:p w14:paraId="1566804E" w14:textId="77777777" w:rsidR="002E3040" w:rsidRPr="0063204A" w:rsidRDefault="002E3040" w:rsidP="004223FA">
      <w:pPr>
        <w:rPr>
          <w:rFonts w:eastAsiaTheme="minorEastAsia" w:cs="Arial"/>
          <w:b/>
          <w:sz w:val="24"/>
          <w:szCs w:val="24"/>
          <w:lang w:eastAsia="da-DK"/>
        </w:rPr>
      </w:pPr>
      <w:r w:rsidRPr="0063204A">
        <w:rPr>
          <w:rFonts w:eastAsiaTheme="minorEastAsia" w:cs="Arial"/>
          <w:b/>
          <w:sz w:val="24"/>
          <w:szCs w:val="24"/>
          <w:lang w:eastAsia="da-DK"/>
        </w:rPr>
        <w:t>Mål</w:t>
      </w:r>
    </w:p>
    <w:p w14:paraId="1854E444" w14:textId="77777777" w:rsidR="004223FA" w:rsidRPr="004223FA" w:rsidRDefault="0009199C" w:rsidP="004223FA">
      <w:r w:rsidRPr="004223FA">
        <w:t>Strategien omfatter fire mål om henholdsvis brugerfokus, korte sagsbehandlingstider, ensartethed samt kvalitet og effektivitet.</w:t>
      </w:r>
    </w:p>
    <w:p w14:paraId="0BC5B376" w14:textId="77777777" w:rsidR="004223FA" w:rsidRPr="004223FA" w:rsidRDefault="004223FA" w:rsidP="004223FA"/>
    <w:p w14:paraId="3A827688" w14:textId="526C51FC" w:rsidR="00DC17E7" w:rsidRDefault="0009199C" w:rsidP="00CC0FF0">
      <w:r w:rsidRPr="004223FA">
        <w:t>Målene er omdrejningspunkte</w:t>
      </w:r>
      <w:r w:rsidR="00AD395F" w:rsidRPr="004223FA">
        <w:t xml:space="preserve">t for otte </w:t>
      </w:r>
      <w:r w:rsidRPr="004223FA">
        <w:t xml:space="preserve">strategiske temaer, som også er beskrevet i strategien. </w:t>
      </w:r>
      <w:r w:rsidR="00DC17E7" w:rsidRPr="004223FA">
        <w:t xml:space="preserve">Med afsæt i de strategiske temaer </w:t>
      </w:r>
      <w:r w:rsidR="00474386" w:rsidRPr="004223FA">
        <w:t xml:space="preserve">er der en række </w:t>
      </w:r>
      <w:r w:rsidR="00AD395F" w:rsidRPr="004223FA">
        <w:t>projekter, som</w:t>
      </w:r>
      <w:r w:rsidR="00DC17E7" w:rsidRPr="004223FA">
        <w:t xml:space="preserve"> skal </w:t>
      </w:r>
      <w:r w:rsidR="00F16723">
        <w:t>understøtte realiseringen af</w:t>
      </w:r>
      <w:r w:rsidR="00DC17E7" w:rsidRPr="004223FA">
        <w:t xml:space="preserve"> te</w:t>
      </w:r>
      <w:r w:rsidR="00474386" w:rsidRPr="004223FA">
        <w:t>maerne og dermed føre til, at Danmarks Domstole når de</w:t>
      </w:r>
      <w:r w:rsidR="00F16723">
        <w:t xml:space="preserve"> fælles</w:t>
      </w:r>
      <w:r w:rsidR="00474386" w:rsidRPr="004223FA">
        <w:t xml:space="preserve"> mål</w:t>
      </w:r>
      <w:r w:rsidRPr="004223FA">
        <w:t xml:space="preserve">. </w:t>
      </w:r>
      <w:r w:rsidR="00474386" w:rsidRPr="004223FA">
        <w:t>Disse p</w:t>
      </w:r>
      <w:r w:rsidR="00AD395F" w:rsidRPr="004223FA">
        <w:t>rojekter</w:t>
      </w:r>
      <w:r w:rsidRPr="004223FA">
        <w:t xml:space="preserve"> er samlet</w:t>
      </w:r>
      <w:r w:rsidR="00DC17E7" w:rsidRPr="004223FA">
        <w:t xml:space="preserve"> i handlingsplan</w:t>
      </w:r>
      <w:r w:rsidR="00474386" w:rsidRPr="004223FA">
        <w:t>en</w:t>
      </w:r>
      <w:r w:rsidR="00DC17E7" w:rsidRPr="004223FA">
        <w:t xml:space="preserve"> for Danmarks Domstole</w:t>
      </w:r>
      <w:r w:rsidR="00AD395F" w:rsidRPr="004223FA">
        <w:t xml:space="preserve"> </w:t>
      </w:r>
      <w:r w:rsidR="00D62E70" w:rsidRPr="004223FA">
        <w:t>202</w:t>
      </w:r>
      <w:r w:rsidR="00D62E70">
        <w:t>2</w:t>
      </w:r>
      <w:r w:rsidR="00DC17E7" w:rsidRPr="004223FA">
        <w:t>.</w:t>
      </w:r>
      <w:r w:rsidR="004E1C2C">
        <w:t xml:space="preserve"> Af særlig betydning for Retten i </w:t>
      </w:r>
      <w:r w:rsidR="00D94AFD">
        <w:t>Holstebro,</w:t>
      </w:r>
      <w:r w:rsidR="004E1C2C">
        <w:t xml:space="preserve"> er det, at Danmarks Domstole i 202</w:t>
      </w:r>
      <w:r w:rsidR="00D62E70">
        <w:t>2</w:t>
      </w:r>
      <w:r w:rsidR="004E1C2C">
        <w:t xml:space="preserve"> arbejder med følgende projekter</w:t>
      </w:r>
      <w:r w:rsidR="00CC0FF0">
        <w:t>:</w:t>
      </w:r>
      <w:r w:rsidR="000630B3" w:rsidRPr="000630B3">
        <w:t xml:space="preserve"> Straffe- og skiftesystem, Næste generation Digital Post, MitID og NemLog-in, udbud af it-driftskontrakt og stabilisering af kassesystemet.</w:t>
      </w:r>
      <w:r w:rsidR="000630B3">
        <w:t xml:space="preserve"> </w:t>
      </w:r>
    </w:p>
    <w:p w14:paraId="20921F98" w14:textId="20D2C50A" w:rsidR="00D94AFD" w:rsidRDefault="00D94AFD" w:rsidP="00CC0FF0"/>
    <w:p w14:paraId="28D19352" w14:textId="676E248C" w:rsidR="008A62C3" w:rsidRDefault="00D94AFD" w:rsidP="00D94AFD">
      <w:r>
        <w:t xml:space="preserve">For Retten i Holstebro vil den strategiske vægtning og rettens tilgang til 2022 især dreje sig om på alle sagsområder, at have hovedfokus rettet mod kerneopgaverne, og afvikle sagerne indenfor sagsbehandlingstiderne med fokus på ensartethed samt kvalitet og effektivitet. </w:t>
      </w:r>
    </w:p>
    <w:p w14:paraId="0AC0FDB4" w14:textId="77777777" w:rsidR="008A62C3" w:rsidRPr="004223FA" w:rsidRDefault="008A62C3" w:rsidP="004223FA"/>
    <w:p w14:paraId="2F1007BA" w14:textId="41822B11" w:rsidR="00931953" w:rsidRPr="004223FA" w:rsidRDefault="00931953" w:rsidP="004223FA">
      <w:r w:rsidRPr="004223FA">
        <w:t>Det er et fælles ansvar ved Danmarks Domstole at implementere strategien og arbejde for at realisere målene, og det er derfor afgørende, at der er et løbende ledelsesmæssigt fokus ved den enkelte ret på implementering og opfølgning.</w:t>
      </w:r>
    </w:p>
    <w:p w14:paraId="15052E02" w14:textId="77777777" w:rsidR="00AD395F" w:rsidRPr="004223FA" w:rsidRDefault="00AD395F" w:rsidP="004223FA"/>
    <w:p w14:paraId="02C2C87D" w14:textId="58B7E756" w:rsidR="00810811" w:rsidRDefault="008A710D" w:rsidP="004223FA">
      <w:r w:rsidRPr="004223FA">
        <w:t xml:space="preserve">I det følgende er der en kort </w:t>
      </w:r>
      <w:r w:rsidR="004E1C2C">
        <w:t xml:space="preserve">punktvis </w:t>
      </w:r>
      <w:r w:rsidRPr="004223FA">
        <w:t>beskrivelse af, h</w:t>
      </w:r>
      <w:r w:rsidR="00810811">
        <w:t>vad</w:t>
      </w:r>
      <w:r w:rsidRPr="004223FA">
        <w:t xml:space="preserve"> </w:t>
      </w:r>
      <w:r w:rsidR="002B7EBB" w:rsidRPr="004223FA">
        <w:t xml:space="preserve">Retten i </w:t>
      </w:r>
      <w:r w:rsidR="00D94AFD">
        <w:t xml:space="preserve">Holstebro </w:t>
      </w:r>
      <w:r w:rsidRPr="004223FA">
        <w:t xml:space="preserve">i </w:t>
      </w:r>
      <w:r w:rsidR="00D62E70" w:rsidRPr="004223FA">
        <w:t>202</w:t>
      </w:r>
      <w:r w:rsidR="00D62E70">
        <w:t>2</w:t>
      </w:r>
      <w:r w:rsidR="00D62E70" w:rsidRPr="004223FA">
        <w:t xml:space="preserve"> </w:t>
      </w:r>
      <w:r w:rsidRPr="004223FA">
        <w:t xml:space="preserve">vil </w:t>
      </w:r>
      <w:r w:rsidR="00810811">
        <w:t xml:space="preserve">gøre for at bidrage til, at retten </w:t>
      </w:r>
      <w:r w:rsidR="002E3040">
        <w:t xml:space="preserve">- </w:t>
      </w:r>
      <w:r w:rsidR="00810811">
        <w:t xml:space="preserve">og </w:t>
      </w:r>
      <w:r w:rsidR="004E1C2C">
        <w:t xml:space="preserve">dermed </w:t>
      </w:r>
      <w:r w:rsidR="00810811">
        <w:t xml:space="preserve">domstolene som sådan </w:t>
      </w:r>
      <w:r w:rsidR="002E3040">
        <w:t xml:space="preserve">- </w:t>
      </w:r>
      <w:r w:rsidR="00810811">
        <w:t>når de fire mål</w:t>
      </w:r>
      <w:r w:rsidR="003B45E5">
        <w:t>.</w:t>
      </w:r>
      <w:r w:rsidR="00810811">
        <w:t xml:space="preserve"> </w:t>
      </w:r>
    </w:p>
    <w:p w14:paraId="05921B03" w14:textId="77777777" w:rsidR="002E3040" w:rsidRDefault="002E3040" w:rsidP="004223FA"/>
    <w:p w14:paraId="5122ED06" w14:textId="77777777" w:rsidR="002E3040" w:rsidRPr="0063204A" w:rsidRDefault="002E3040" w:rsidP="002E3040">
      <w:pPr>
        <w:rPr>
          <w:rFonts w:eastAsiaTheme="minorEastAsia" w:cs="Arial"/>
          <w:b/>
          <w:sz w:val="24"/>
          <w:szCs w:val="24"/>
          <w:lang w:eastAsia="da-DK"/>
        </w:rPr>
      </w:pPr>
      <w:r w:rsidRPr="0063204A">
        <w:rPr>
          <w:rFonts w:eastAsiaTheme="minorEastAsia" w:cs="Arial"/>
          <w:b/>
          <w:sz w:val="24"/>
          <w:szCs w:val="24"/>
          <w:lang w:eastAsia="da-DK"/>
        </w:rPr>
        <w:t xml:space="preserve">Den strategiske vægtning </w:t>
      </w:r>
    </w:p>
    <w:p w14:paraId="43EBF316" w14:textId="77777777" w:rsidR="002E3040" w:rsidRDefault="002E3040" w:rsidP="002E3040">
      <w:r w:rsidRPr="00264086">
        <w:t>I strategien er der fastsat otte strategiske temaer, som i særlig grad vurderes at kunne understøtte realiseringen af de fire mål. De strategiske temaer vil blive genbesøgt årligt.</w:t>
      </w:r>
    </w:p>
    <w:p w14:paraId="4DD95D78" w14:textId="77777777" w:rsidR="002E3040" w:rsidRPr="00264086" w:rsidRDefault="002E3040" w:rsidP="002E3040"/>
    <w:p w14:paraId="611BAB5E" w14:textId="77777777" w:rsidR="00622480" w:rsidRDefault="002E3040" w:rsidP="002E3040">
      <w:r w:rsidRPr="00264086">
        <w:t>De strategiske temaer er:</w:t>
      </w:r>
    </w:p>
    <w:p w14:paraId="37AF6C14" w14:textId="6536AD57" w:rsidR="00622480" w:rsidRDefault="002E3040" w:rsidP="00AB1F16">
      <w:pPr>
        <w:pStyle w:val="Listeafsnit"/>
        <w:numPr>
          <w:ilvl w:val="0"/>
          <w:numId w:val="1"/>
        </w:numPr>
      </w:pPr>
      <w:r w:rsidRPr="00264086">
        <w:t>Stabil og fremtidssikret systemunderstøttelse</w:t>
      </w:r>
    </w:p>
    <w:p w14:paraId="188F0959" w14:textId="7DA4CD86" w:rsidR="00622480" w:rsidRDefault="00622480" w:rsidP="00AB1F16">
      <w:pPr>
        <w:pStyle w:val="Listeafsnit"/>
        <w:numPr>
          <w:ilvl w:val="0"/>
          <w:numId w:val="1"/>
        </w:numPr>
      </w:pPr>
      <w:r>
        <w:t>B</w:t>
      </w:r>
      <w:r w:rsidR="002E3040" w:rsidRPr="00264086">
        <w:t>edste praksis</w:t>
      </w:r>
    </w:p>
    <w:p w14:paraId="4A103FD2" w14:textId="366D959A" w:rsidR="00622480" w:rsidRDefault="00622480" w:rsidP="00AB1F16">
      <w:pPr>
        <w:pStyle w:val="Listeafsnit"/>
        <w:numPr>
          <w:ilvl w:val="0"/>
          <w:numId w:val="1"/>
        </w:numPr>
      </w:pPr>
      <w:r>
        <w:t>E</w:t>
      </w:r>
      <w:r w:rsidR="002E3040" w:rsidRPr="00264086">
        <w:t>n moderne og attraktiv arbejdsplads med de rette kompetencer</w:t>
      </w:r>
    </w:p>
    <w:p w14:paraId="4F1CA575" w14:textId="2510FB9B" w:rsidR="00853008" w:rsidRDefault="00622480" w:rsidP="00AB1F16">
      <w:pPr>
        <w:pStyle w:val="Listeafsnit"/>
        <w:numPr>
          <w:ilvl w:val="0"/>
          <w:numId w:val="1"/>
        </w:numPr>
      </w:pPr>
      <w:r>
        <w:lastRenderedPageBreak/>
        <w:t>S</w:t>
      </w:r>
      <w:r w:rsidR="002E3040" w:rsidRPr="00264086">
        <w:t>traffesagsområdet</w:t>
      </w:r>
    </w:p>
    <w:p w14:paraId="14594CF3" w14:textId="179127CD" w:rsidR="00853008" w:rsidRDefault="00853008" w:rsidP="00AB1F16">
      <w:pPr>
        <w:pStyle w:val="Listeafsnit"/>
        <w:numPr>
          <w:ilvl w:val="0"/>
          <w:numId w:val="1"/>
        </w:numPr>
      </w:pPr>
      <w:r>
        <w:t>F</w:t>
      </w:r>
      <w:r w:rsidR="002E3040" w:rsidRPr="00264086">
        <w:t>ælles løsninger og effektiv drift</w:t>
      </w:r>
    </w:p>
    <w:p w14:paraId="62232BCD" w14:textId="36B0A9AE" w:rsidR="00853008" w:rsidRDefault="00853008" w:rsidP="00AB1F16">
      <w:pPr>
        <w:pStyle w:val="Listeafsnit"/>
        <w:numPr>
          <w:ilvl w:val="0"/>
          <w:numId w:val="1"/>
        </w:numPr>
      </w:pPr>
      <w:r>
        <w:t>K</w:t>
      </w:r>
      <w:r w:rsidR="002E3040" w:rsidRPr="00264086">
        <w:t>ommunikation og branding</w:t>
      </w:r>
    </w:p>
    <w:p w14:paraId="72D6137D" w14:textId="326A599E" w:rsidR="00853008" w:rsidRDefault="00853008" w:rsidP="00AB1F16">
      <w:pPr>
        <w:pStyle w:val="Listeafsnit"/>
        <w:numPr>
          <w:ilvl w:val="0"/>
          <w:numId w:val="1"/>
        </w:numPr>
      </w:pPr>
      <w:r>
        <w:t>B</w:t>
      </w:r>
      <w:r w:rsidR="002E3040" w:rsidRPr="00264086">
        <w:t>rugerorienteret kultur</w:t>
      </w:r>
    </w:p>
    <w:p w14:paraId="26E3B390" w14:textId="34FCE155" w:rsidR="002E3040" w:rsidRPr="00264086" w:rsidRDefault="00853008" w:rsidP="00AB1F16">
      <w:pPr>
        <w:pStyle w:val="Listeafsnit"/>
        <w:numPr>
          <w:ilvl w:val="0"/>
          <w:numId w:val="1"/>
        </w:numPr>
      </w:pPr>
      <w:r>
        <w:t>S</w:t>
      </w:r>
      <w:r w:rsidR="002E3040" w:rsidRPr="00264086">
        <w:t>tyrket gove</w:t>
      </w:r>
      <w:r w:rsidR="002E3040">
        <w:t>r</w:t>
      </w:r>
      <w:r w:rsidR="002E3040" w:rsidRPr="00264086">
        <w:t xml:space="preserve">nance og eksekveringskraft. </w:t>
      </w:r>
    </w:p>
    <w:p w14:paraId="43E58A31" w14:textId="23D66EBC" w:rsidR="004E1C2C" w:rsidRDefault="004E1C2C" w:rsidP="004223FA"/>
    <w:p w14:paraId="7462E2E2" w14:textId="77777777" w:rsidR="00E8539C" w:rsidRDefault="00E8539C" w:rsidP="004223FA"/>
    <w:p w14:paraId="57F364F2" w14:textId="77777777" w:rsidR="004E1C2C" w:rsidRPr="0063204A" w:rsidRDefault="004E1C2C" w:rsidP="004E1C2C">
      <w:pPr>
        <w:rPr>
          <w:rFonts w:eastAsiaTheme="minorEastAsia" w:cs="Arial"/>
          <w:b/>
          <w:sz w:val="24"/>
          <w:szCs w:val="24"/>
          <w:lang w:eastAsia="da-DK"/>
        </w:rPr>
      </w:pPr>
      <w:r w:rsidRPr="0063204A">
        <w:rPr>
          <w:rFonts w:eastAsiaTheme="minorEastAsia" w:cs="Arial"/>
          <w:b/>
          <w:sz w:val="24"/>
          <w:szCs w:val="24"/>
          <w:lang w:eastAsia="da-DK"/>
        </w:rPr>
        <w:t>Mål</w:t>
      </w:r>
      <w:r w:rsidR="002E3040" w:rsidRPr="0063204A">
        <w:rPr>
          <w:rFonts w:eastAsiaTheme="minorEastAsia" w:cs="Arial"/>
          <w:b/>
          <w:sz w:val="24"/>
          <w:szCs w:val="24"/>
          <w:lang w:eastAsia="da-DK"/>
        </w:rPr>
        <w:t xml:space="preserve"> og strategisk vægtning</w:t>
      </w:r>
      <w:r w:rsidRPr="0063204A">
        <w:rPr>
          <w:rFonts w:eastAsiaTheme="minorEastAsia" w:cs="Arial"/>
          <w:b/>
          <w:sz w:val="24"/>
          <w:szCs w:val="24"/>
          <w:lang w:eastAsia="da-DK"/>
        </w:rPr>
        <w:t xml:space="preserve"> </w:t>
      </w:r>
    </w:p>
    <w:p w14:paraId="439D3EEB" w14:textId="77777777" w:rsidR="005F7F5A" w:rsidRDefault="005F7F5A" w:rsidP="004E1C2C">
      <w:pPr>
        <w:rPr>
          <w:rFonts w:cs="Arial"/>
        </w:rPr>
      </w:pPr>
    </w:p>
    <w:tbl>
      <w:tblPr>
        <w:tblStyle w:val="Handlingsplan"/>
        <w:tblW w:w="5000" w:type="pct"/>
        <w:tblLook w:val="0420" w:firstRow="1" w:lastRow="0" w:firstColumn="0" w:lastColumn="0" w:noHBand="0" w:noVBand="1"/>
      </w:tblPr>
      <w:tblGrid>
        <w:gridCol w:w="3359"/>
        <w:gridCol w:w="3359"/>
        <w:gridCol w:w="3359"/>
        <w:gridCol w:w="3359"/>
      </w:tblGrid>
      <w:tr w:rsidR="006410D1" w:rsidRPr="00E8539C" w14:paraId="41B95CA1" w14:textId="4BEBA7DF" w:rsidTr="008275B3">
        <w:trPr>
          <w:cnfStyle w:val="100000000000" w:firstRow="1" w:lastRow="0" w:firstColumn="0" w:lastColumn="0" w:oddVBand="0" w:evenVBand="0" w:oddHBand="0" w:evenHBand="0" w:firstRowFirstColumn="0" w:firstRowLastColumn="0" w:lastRowFirstColumn="0" w:lastRowLastColumn="0"/>
          <w:trHeight w:val="567"/>
        </w:trPr>
        <w:tc>
          <w:tcPr>
            <w:tcW w:w="1250" w:type="pct"/>
            <w:hideMark/>
          </w:tcPr>
          <w:p w14:paraId="64320C9F" w14:textId="331D3FE7" w:rsidR="006410D1" w:rsidRPr="00E8539C" w:rsidRDefault="006410D1" w:rsidP="006410D1">
            <w:pPr>
              <w:spacing w:line="276" w:lineRule="auto"/>
              <w:rPr>
                <w:rFonts w:cs="Arial"/>
              </w:rPr>
            </w:pPr>
            <w:r w:rsidRPr="0063204A">
              <w:rPr>
                <w:rFonts w:eastAsiaTheme="minorEastAsia" w:cs="Arial"/>
                <w:b/>
                <w:lang w:eastAsia="da-DK"/>
              </w:rPr>
              <w:t xml:space="preserve">Mål </w:t>
            </w:r>
          </w:p>
        </w:tc>
        <w:tc>
          <w:tcPr>
            <w:tcW w:w="1250" w:type="pct"/>
            <w:hideMark/>
          </w:tcPr>
          <w:p w14:paraId="6F1B0DDE" w14:textId="04296194" w:rsidR="006410D1" w:rsidRPr="00E8539C" w:rsidRDefault="006410D1" w:rsidP="006410D1">
            <w:pPr>
              <w:spacing w:line="276" w:lineRule="auto"/>
              <w:rPr>
                <w:rFonts w:cs="Arial"/>
              </w:rPr>
            </w:pPr>
            <w:r w:rsidRPr="0063204A">
              <w:rPr>
                <w:rFonts w:cs="Arial"/>
                <w:b/>
              </w:rPr>
              <w:t>Aktiviteter og opgaver</w:t>
            </w:r>
          </w:p>
        </w:tc>
        <w:tc>
          <w:tcPr>
            <w:tcW w:w="1250" w:type="pct"/>
            <w:hideMark/>
          </w:tcPr>
          <w:p w14:paraId="7BF0033E" w14:textId="06709D2D" w:rsidR="006410D1" w:rsidRPr="00E8539C" w:rsidRDefault="006410D1" w:rsidP="006410D1">
            <w:pPr>
              <w:spacing w:line="276" w:lineRule="auto"/>
              <w:rPr>
                <w:rFonts w:cs="Arial"/>
              </w:rPr>
            </w:pPr>
            <w:r w:rsidRPr="0063204A">
              <w:rPr>
                <w:rFonts w:cs="Arial"/>
                <w:b/>
              </w:rPr>
              <w:t>Værdi og effekt</w:t>
            </w:r>
            <w:r>
              <w:rPr>
                <w:rFonts w:cs="Arial"/>
                <w:b/>
              </w:rPr>
              <w:t>,</w:t>
            </w:r>
            <w:r w:rsidRPr="0063204A">
              <w:rPr>
                <w:rFonts w:cs="Arial"/>
                <w:b/>
              </w:rPr>
              <w:t xml:space="preserve"> herunder for de strategiske temaer </w:t>
            </w:r>
          </w:p>
        </w:tc>
        <w:tc>
          <w:tcPr>
            <w:tcW w:w="1250" w:type="pct"/>
          </w:tcPr>
          <w:p w14:paraId="2A93E609" w14:textId="5613AD3E" w:rsidR="006410D1" w:rsidRPr="00E8539C" w:rsidRDefault="006410D1" w:rsidP="006410D1">
            <w:pPr>
              <w:rPr>
                <w:rFonts w:cs="Arial"/>
              </w:rPr>
            </w:pPr>
            <w:r w:rsidRPr="0063204A">
              <w:rPr>
                <w:rFonts w:cs="Arial"/>
                <w:b/>
              </w:rPr>
              <w:t>Ansvarlig/Status</w:t>
            </w:r>
          </w:p>
        </w:tc>
      </w:tr>
      <w:tr w:rsidR="006410D1" w:rsidRPr="00E8539C" w14:paraId="23D7C867" w14:textId="06ECC0D0" w:rsidTr="008275B3">
        <w:trPr>
          <w:cnfStyle w:val="000000100000" w:firstRow="0" w:lastRow="0" w:firstColumn="0" w:lastColumn="0" w:oddVBand="0" w:evenVBand="0" w:oddHBand="1" w:evenHBand="0" w:firstRowFirstColumn="0" w:firstRowLastColumn="0" w:lastRowFirstColumn="0" w:lastRowLastColumn="0"/>
          <w:trHeight w:val="1134"/>
        </w:trPr>
        <w:tc>
          <w:tcPr>
            <w:tcW w:w="1250" w:type="pct"/>
            <w:hideMark/>
          </w:tcPr>
          <w:p w14:paraId="7F23771C" w14:textId="1DEA095C" w:rsidR="006410D1" w:rsidRPr="00E8539C" w:rsidRDefault="006410D1" w:rsidP="006410D1">
            <w:pPr>
              <w:spacing w:line="276" w:lineRule="auto"/>
              <w:rPr>
                <w:rFonts w:eastAsiaTheme="minorEastAsia" w:cs="Arial"/>
                <w:b/>
                <w:lang w:eastAsia="da-DK"/>
              </w:rPr>
            </w:pPr>
            <w:r w:rsidRPr="0063204A">
              <w:rPr>
                <w:rFonts w:eastAsiaTheme="minorEastAsia" w:cs="Arial"/>
                <w:b/>
                <w:lang w:eastAsia="da-DK"/>
              </w:rPr>
              <w:t xml:space="preserve">Brugerfokus </w:t>
            </w:r>
          </w:p>
        </w:tc>
        <w:tc>
          <w:tcPr>
            <w:tcW w:w="1250" w:type="pct"/>
            <w:hideMark/>
          </w:tcPr>
          <w:p w14:paraId="49E31DAB" w14:textId="77777777" w:rsidR="006410D1" w:rsidRPr="00D94AFD" w:rsidRDefault="00D94AFD" w:rsidP="00D94AFD">
            <w:pPr>
              <w:pStyle w:val="Listeafsnit"/>
              <w:numPr>
                <w:ilvl w:val="0"/>
                <w:numId w:val="2"/>
              </w:numPr>
              <w:rPr>
                <w:rFonts w:cs="Arial"/>
              </w:rPr>
            </w:pPr>
            <w:r w:rsidRPr="00D94AFD">
              <w:rPr>
                <w:rFonts w:cs="Arial"/>
              </w:rPr>
              <w:t xml:space="preserve">Gennemgang af brugerundersøgelsen for Retten i Holstebro fra 2021 sammenholdt med afrapportering af brugerundersøgelsen for Danmarks Domstole. </w:t>
            </w:r>
          </w:p>
          <w:p w14:paraId="57A69968" w14:textId="77777777" w:rsidR="00D94AFD" w:rsidRPr="00D94AFD" w:rsidRDefault="00D94AFD" w:rsidP="00D94AFD">
            <w:pPr>
              <w:pStyle w:val="Listeafsnit"/>
              <w:numPr>
                <w:ilvl w:val="0"/>
                <w:numId w:val="2"/>
              </w:numPr>
              <w:rPr>
                <w:rFonts w:cs="Arial"/>
              </w:rPr>
            </w:pPr>
            <w:r w:rsidRPr="00D94AFD">
              <w:rPr>
                <w:rFonts w:cs="Arial"/>
              </w:rPr>
              <w:t>Tilpasse vores tilgang til brugerne efter brugerundersøgelsens resultater</w:t>
            </w:r>
          </w:p>
          <w:p w14:paraId="5971EFD7" w14:textId="6E369AC1" w:rsidR="00D94AFD" w:rsidRDefault="00D94AFD" w:rsidP="00D94AFD">
            <w:pPr>
              <w:pStyle w:val="Listeafsnit"/>
              <w:numPr>
                <w:ilvl w:val="0"/>
                <w:numId w:val="2"/>
              </w:numPr>
              <w:rPr>
                <w:rFonts w:cs="Arial"/>
              </w:rPr>
            </w:pPr>
            <w:r w:rsidRPr="00D94AFD">
              <w:rPr>
                <w:rFonts w:cs="Arial"/>
              </w:rPr>
              <w:t xml:space="preserve">Gennemgå brugerundersøgelsen </w:t>
            </w:r>
            <w:r w:rsidR="00C552BB">
              <w:rPr>
                <w:rFonts w:cs="Arial"/>
              </w:rPr>
              <w:t xml:space="preserve">i afdelingerne. </w:t>
            </w:r>
            <w:r w:rsidRPr="00D94AFD">
              <w:rPr>
                <w:rFonts w:cs="Arial"/>
              </w:rPr>
              <w:t xml:space="preserve"> </w:t>
            </w:r>
          </w:p>
          <w:p w14:paraId="200BA8C9" w14:textId="77777777" w:rsidR="00C552BB" w:rsidRDefault="00C552BB" w:rsidP="00D94AFD">
            <w:pPr>
              <w:pStyle w:val="Listeafsnit"/>
              <w:numPr>
                <w:ilvl w:val="0"/>
                <w:numId w:val="2"/>
              </w:numPr>
              <w:rPr>
                <w:rFonts w:cs="Arial"/>
              </w:rPr>
            </w:pPr>
            <w:r>
              <w:rPr>
                <w:rFonts w:cs="Arial"/>
              </w:rPr>
              <w:t>Særligt fokus på notarforretninger</w:t>
            </w:r>
          </w:p>
          <w:p w14:paraId="0E9D5939" w14:textId="21B1733A" w:rsidR="00C552BB" w:rsidRPr="00D94AFD" w:rsidRDefault="00C552BB" w:rsidP="00D94AFD">
            <w:pPr>
              <w:pStyle w:val="Listeafsnit"/>
              <w:numPr>
                <w:ilvl w:val="0"/>
                <w:numId w:val="2"/>
              </w:numPr>
              <w:rPr>
                <w:rFonts w:cs="Arial"/>
              </w:rPr>
            </w:pPr>
            <w:r>
              <w:rPr>
                <w:rFonts w:cs="Arial"/>
              </w:rPr>
              <w:t>Gå hjem møde med retskredsens advokater</w:t>
            </w:r>
          </w:p>
        </w:tc>
        <w:tc>
          <w:tcPr>
            <w:tcW w:w="1250" w:type="pct"/>
            <w:hideMark/>
          </w:tcPr>
          <w:p w14:paraId="3BEC4D35" w14:textId="77777777" w:rsidR="006410D1" w:rsidRPr="00D94AFD" w:rsidRDefault="00D94AFD" w:rsidP="00D94AFD">
            <w:pPr>
              <w:pStyle w:val="Listeafsnit"/>
              <w:numPr>
                <w:ilvl w:val="0"/>
                <w:numId w:val="2"/>
              </w:numPr>
              <w:rPr>
                <w:rFonts w:cs="Arial"/>
              </w:rPr>
            </w:pPr>
            <w:r w:rsidRPr="00D94AFD">
              <w:rPr>
                <w:rFonts w:cs="Arial"/>
              </w:rPr>
              <w:t>Fastholde og videreudvikle rettens brugerfokus, både i den personlige og den digitale brugerkontakt</w:t>
            </w:r>
          </w:p>
          <w:p w14:paraId="59576A85" w14:textId="77777777" w:rsidR="00D94AFD" w:rsidRDefault="00D94AFD" w:rsidP="00D94AFD">
            <w:pPr>
              <w:pStyle w:val="Listeafsnit"/>
              <w:numPr>
                <w:ilvl w:val="0"/>
                <w:numId w:val="2"/>
              </w:numPr>
              <w:rPr>
                <w:rFonts w:cs="Arial"/>
              </w:rPr>
            </w:pPr>
            <w:r w:rsidRPr="00D94AFD">
              <w:rPr>
                <w:rFonts w:cs="Arial"/>
              </w:rPr>
              <w:t xml:space="preserve">Tilfredse brugere der i endnu højere grad har tillid til retten, og føler sig retfærdigt og ordentligt behandlet </w:t>
            </w:r>
          </w:p>
          <w:p w14:paraId="621EC9D9" w14:textId="77777777" w:rsidR="00C552BB" w:rsidRDefault="00C552BB" w:rsidP="00D94AFD">
            <w:pPr>
              <w:pStyle w:val="Listeafsnit"/>
              <w:numPr>
                <w:ilvl w:val="0"/>
                <w:numId w:val="2"/>
              </w:numPr>
              <w:rPr>
                <w:rFonts w:cs="Arial"/>
              </w:rPr>
            </w:pPr>
            <w:r>
              <w:rPr>
                <w:rFonts w:cs="Arial"/>
              </w:rPr>
              <w:t>Tilfredse notarkunder</w:t>
            </w:r>
          </w:p>
          <w:p w14:paraId="4574907C" w14:textId="1921E79E" w:rsidR="00C552BB" w:rsidRPr="00D94AFD" w:rsidRDefault="00C552BB" w:rsidP="00D94AFD">
            <w:pPr>
              <w:pStyle w:val="Listeafsnit"/>
              <w:numPr>
                <w:ilvl w:val="0"/>
                <w:numId w:val="2"/>
              </w:numPr>
              <w:rPr>
                <w:rFonts w:cs="Arial"/>
              </w:rPr>
            </w:pPr>
            <w:r>
              <w:rPr>
                <w:rFonts w:cs="Arial"/>
              </w:rPr>
              <w:t>God dialog og videndeling</w:t>
            </w:r>
          </w:p>
        </w:tc>
        <w:tc>
          <w:tcPr>
            <w:tcW w:w="1250" w:type="pct"/>
          </w:tcPr>
          <w:p w14:paraId="7C6EAB89" w14:textId="77777777" w:rsidR="006410D1" w:rsidRDefault="00D94AFD" w:rsidP="00D94AFD">
            <w:pPr>
              <w:pStyle w:val="Listeafsnit"/>
              <w:numPr>
                <w:ilvl w:val="0"/>
                <w:numId w:val="2"/>
              </w:numPr>
              <w:rPr>
                <w:rFonts w:cs="Arial"/>
              </w:rPr>
            </w:pPr>
            <w:r w:rsidRPr="00D94AFD">
              <w:rPr>
                <w:rFonts w:cs="Arial"/>
              </w:rPr>
              <w:t xml:space="preserve">Præsidenten og administrationschefen </w:t>
            </w:r>
          </w:p>
          <w:p w14:paraId="3CBA7EC8" w14:textId="77777777" w:rsidR="00D94AFD" w:rsidRDefault="00D94AFD" w:rsidP="00D94AFD">
            <w:pPr>
              <w:pStyle w:val="Listeafsnit"/>
              <w:numPr>
                <w:ilvl w:val="0"/>
                <w:numId w:val="2"/>
              </w:numPr>
              <w:rPr>
                <w:rFonts w:cs="Arial"/>
              </w:rPr>
            </w:pPr>
            <w:r>
              <w:rPr>
                <w:rFonts w:cs="Arial"/>
              </w:rPr>
              <w:t>Afdelingsledelserne</w:t>
            </w:r>
          </w:p>
          <w:p w14:paraId="796166F5" w14:textId="77777777" w:rsidR="00C552BB" w:rsidRDefault="00C552BB" w:rsidP="00D94AFD">
            <w:pPr>
              <w:pStyle w:val="Listeafsnit"/>
              <w:numPr>
                <w:ilvl w:val="0"/>
                <w:numId w:val="2"/>
              </w:numPr>
              <w:rPr>
                <w:rFonts w:cs="Arial"/>
              </w:rPr>
            </w:pPr>
            <w:r>
              <w:rPr>
                <w:rFonts w:cs="Arial"/>
              </w:rPr>
              <w:t>Kira og Rikke</w:t>
            </w:r>
          </w:p>
          <w:p w14:paraId="43ADA15C" w14:textId="25F954F6" w:rsidR="00C552BB" w:rsidRPr="00D94AFD" w:rsidRDefault="00C552BB" w:rsidP="00D94AFD">
            <w:pPr>
              <w:pStyle w:val="Listeafsnit"/>
              <w:numPr>
                <w:ilvl w:val="0"/>
                <w:numId w:val="2"/>
              </w:numPr>
              <w:rPr>
                <w:rFonts w:cs="Arial"/>
              </w:rPr>
            </w:pPr>
            <w:r>
              <w:rPr>
                <w:rFonts w:cs="Arial"/>
              </w:rPr>
              <w:t>Præsidenten</w:t>
            </w:r>
          </w:p>
        </w:tc>
      </w:tr>
      <w:tr w:rsidR="006410D1" w:rsidRPr="00E8539C" w14:paraId="10EF52E3" w14:textId="7714304B" w:rsidTr="008275B3">
        <w:trPr>
          <w:cnfStyle w:val="000000010000" w:firstRow="0" w:lastRow="0" w:firstColumn="0" w:lastColumn="0" w:oddVBand="0" w:evenVBand="0" w:oddHBand="0" w:evenHBand="1" w:firstRowFirstColumn="0" w:firstRowLastColumn="0" w:lastRowFirstColumn="0" w:lastRowLastColumn="0"/>
          <w:trHeight w:val="1134"/>
        </w:trPr>
        <w:tc>
          <w:tcPr>
            <w:tcW w:w="1250" w:type="pct"/>
            <w:hideMark/>
          </w:tcPr>
          <w:p w14:paraId="135EA1EE" w14:textId="408F77BF" w:rsidR="006410D1" w:rsidRPr="0063204A" w:rsidRDefault="006410D1" w:rsidP="006410D1">
            <w:pPr>
              <w:spacing w:line="276" w:lineRule="auto"/>
              <w:rPr>
                <w:rFonts w:eastAsiaTheme="minorEastAsia" w:cs="Arial"/>
                <w:b/>
                <w:lang w:eastAsia="da-DK"/>
              </w:rPr>
            </w:pPr>
            <w:r w:rsidRPr="0063204A">
              <w:rPr>
                <w:rFonts w:eastAsiaTheme="minorEastAsia" w:cs="Arial"/>
                <w:b/>
                <w:lang w:eastAsia="da-DK"/>
              </w:rPr>
              <w:t>Korte sagsbehandlingstider</w:t>
            </w:r>
          </w:p>
          <w:p w14:paraId="282FEBB7" w14:textId="77777777" w:rsidR="006410D1" w:rsidRPr="00E8539C" w:rsidRDefault="006410D1" w:rsidP="006410D1">
            <w:pPr>
              <w:spacing w:line="276" w:lineRule="auto"/>
              <w:rPr>
                <w:rFonts w:cs="Arial"/>
              </w:rPr>
            </w:pPr>
          </w:p>
        </w:tc>
        <w:tc>
          <w:tcPr>
            <w:tcW w:w="1250" w:type="pct"/>
            <w:hideMark/>
          </w:tcPr>
          <w:p w14:paraId="3DEFFEFF" w14:textId="21F511DB" w:rsidR="006410D1" w:rsidRDefault="00D94AFD" w:rsidP="00D94AFD">
            <w:pPr>
              <w:pStyle w:val="Listeafsnit"/>
              <w:numPr>
                <w:ilvl w:val="0"/>
                <w:numId w:val="2"/>
              </w:numPr>
              <w:rPr>
                <w:rFonts w:cs="Arial"/>
              </w:rPr>
            </w:pPr>
            <w:r w:rsidRPr="00D94AFD">
              <w:rPr>
                <w:rFonts w:cs="Arial"/>
              </w:rPr>
              <w:t>Fastholde fokus på at alle ugentlige anklager bliver brugt</w:t>
            </w:r>
          </w:p>
          <w:p w14:paraId="51BAB16F" w14:textId="701504CB" w:rsidR="00D94AFD" w:rsidRPr="00D94AFD" w:rsidRDefault="00D94AFD" w:rsidP="00D94AFD">
            <w:pPr>
              <w:pStyle w:val="Listeafsnit"/>
              <w:numPr>
                <w:ilvl w:val="0"/>
                <w:numId w:val="2"/>
              </w:numPr>
              <w:rPr>
                <w:rFonts w:cs="Arial"/>
              </w:rPr>
            </w:pPr>
            <w:r>
              <w:rPr>
                <w:rFonts w:cs="Arial"/>
              </w:rPr>
              <w:lastRenderedPageBreak/>
              <w:t>Vi vil have fokus på ledig kalendertid og omberammelser,</w:t>
            </w:r>
            <w:r w:rsidR="00C552BB">
              <w:rPr>
                <w:rFonts w:cs="Arial"/>
              </w:rPr>
              <w:t xml:space="preserve"> </w:t>
            </w:r>
            <w:r>
              <w:rPr>
                <w:rFonts w:cs="Arial"/>
              </w:rPr>
              <w:t>således at ledig kalendertid bliver udnyttet</w:t>
            </w:r>
          </w:p>
          <w:p w14:paraId="5AC6CF04" w14:textId="77777777" w:rsidR="00D94AFD" w:rsidRPr="00D94AFD" w:rsidRDefault="00D94AFD" w:rsidP="00D94AFD">
            <w:pPr>
              <w:pStyle w:val="Listeafsnit"/>
              <w:numPr>
                <w:ilvl w:val="0"/>
                <w:numId w:val="2"/>
              </w:numPr>
              <w:rPr>
                <w:rFonts w:cs="Arial"/>
              </w:rPr>
            </w:pPr>
            <w:r w:rsidRPr="00D94AFD">
              <w:rPr>
                <w:rFonts w:cs="Arial"/>
              </w:rPr>
              <w:t>Fortsat fokus på at måltallene og sagsbehandlingstiderne på alle sagsområder</w:t>
            </w:r>
          </w:p>
          <w:p w14:paraId="51728C38" w14:textId="6265AF7A" w:rsidR="00D94AFD" w:rsidRPr="00D94AFD" w:rsidRDefault="00D94AFD" w:rsidP="00D94AFD">
            <w:pPr>
              <w:pStyle w:val="Listeafsnit"/>
              <w:numPr>
                <w:ilvl w:val="0"/>
                <w:numId w:val="2"/>
              </w:numPr>
              <w:rPr>
                <w:rFonts w:cs="Arial"/>
              </w:rPr>
            </w:pPr>
            <w:r w:rsidRPr="00D94AFD">
              <w:rPr>
                <w:rFonts w:cs="Arial"/>
              </w:rPr>
              <w:t xml:space="preserve">Analyse af evt. flaskehalse i forberedelsen af alle sagstyper </w:t>
            </w:r>
          </w:p>
        </w:tc>
        <w:tc>
          <w:tcPr>
            <w:tcW w:w="1250" w:type="pct"/>
            <w:hideMark/>
          </w:tcPr>
          <w:p w14:paraId="297E1C24" w14:textId="77777777" w:rsidR="006410D1" w:rsidRPr="00D94AFD" w:rsidRDefault="00D94AFD" w:rsidP="00D94AFD">
            <w:pPr>
              <w:pStyle w:val="Listeafsnit"/>
              <w:numPr>
                <w:ilvl w:val="0"/>
                <w:numId w:val="2"/>
              </w:numPr>
              <w:rPr>
                <w:rFonts w:cs="Arial"/>
              </w:rPr>
            </w:pPr>
            <w:r w:rsidRPr="00D94AFD">
              <w:rPr>
                <w:rFonts w:cs="Arial"/>
              </w:rPr>
              <w:lastRenderedPageBreak/>
              <w:t>Anklageraftalen overholdes og uberammede sager kommer i kalenderne</w:t>
            </w:r>
          </w:p>
          <w:p w14:paraId="29B19548" w14:textId="77777777" w:rsidR="00D94AFD" w:rsidRPr="00D94AFD" w:rsidRDefault="00D94AFD" w:rsidP="00D94AFD">
            <w:pPr>
              <w:pStyle w:val="Listeafsnit"/>
              <w:numPr>
                <w:ilvl w:val="0"/>
                <w:numId w:val="2"/>
              </w:numPr>
              <w:rPr>
                <w:rFonts w:cs="Arial"/>
              </w:rPr>
            </w:pPr>
            <w:r w:rsidRPr="00D94AFD">
              <w:rPr>
                <w:rFonts w:cs="Arial"/>
              </w:rPr>
              <w:lastRenderedPageBreak/>
              <w:t xml:space="preserve">Der oprettes, berammes og forkyndes i samme arbejdsgang, hvorved der undgås dobbelte arbejdsgange </w:t>
            </w:r>
          </w:p>
          <w:p w14:paraId="327A17C9" w14:textId="32B029BE" w:rsidR="00D94AFD" w:rsidRPr="00D94AFD" w:rsidRDefault="00D94AFD" w:rsidP="00D94AFD">
            <w:pPr>
              <w:pStyle w:val="Listeafsnit"/>
              <w:numPr>
                <w:ilvl w:val="0"/>
                <w:numId w:val="2"/>
              </w:numPr>
              <w:rPr>
                <w:rFonts w:cs="Arial"/>
              </w:rPr>
            </w:pPr>
            <w:r w:rsidRPr="00D94AFD">
              <w:rPr>
                <w:rFonts w:cs="Arial"/>
              </w:rPr>
              <w:t>Faste arbejdsgange med nedbringelse af fristlisterne for alle sagsområderne</w:t>
            </w:r>
          </w:p>
        </w:tc>
        <w:tc>
          <w:tcPr>
            <w:tcW w:w="1250" w:type="pct"/>
          </w:tcPr>
          <w:p w14:paraId="5C8DA056" w14:textId="0E98B017" w:rsidR="006410D1" w:rsidRPr="00D94AFD" w:rsidRDefault="00D94AFD" w:rsidP="00D94AFD">
            <w:pPr>
              <w:pStyle w:val="Listeafsnit"/>
              <w:numPr>
                <w:ilvl w:val="0"/>
                <w:numId w:val="2"/>
              </w:numPr>
              <w:rPr>
                <w:rFonts w:cs="Arial"/>
              </w:rPr>
            </w:pPr>
            <w:r w:rsidRPr="00D94AFD">
              <w:rPr>
                <w:rFonts w:cs="Arial"/>
              </w:rPr>
              <w:lastRenderedPageBreak/>
              <w:t xml:space="preserve">Afdelingsledelserne </w:t>
            </w:r>
          </w:p>
        </w:tc>
      </w:tr>
      <w:tr w:rsidR="006410D1" w:rsidRPr="00E8539C" w14:paraId="71CA5982" w14:textId="404CDD15" w:rsidTr="008275B3">
        <w:trPr>
          <w:cnfStyle w:val="000000100000" w:firstRow="0" w:lastRow="0" w:firstColumn="0" w:lastColumn="0" w:oddVBand="0" w:evenVBand="0" w:oddHBand="1" w:evenHBand="0" w:firstRowFirstColumn="0" w:firstRowLastColumn="0" w:lastRowFirstColumn="0" w:lastRowLastColumn="0"/>
          <w:trHeight w:val="1134"/>
        </w:trPr>
        <w:tc>
          <w:tcPr>
            <w:tcW w:w="1250" w:type="pct"/>
            <w:hideMark/>
          </w:tcPr>
          <w:p w14:paraId="4792222B" w14:textId="5AF1B9C5" w:rsidR="006410D1" w:rsidRPr="0063204A" w:rsidRDefault="006410D1" w:rsidP="006410D1">
            <w:pPr>
              <w:spacing w:line="276" w:lineRule="auto"/>
              <w:rPr>
                <w:rFonts w:eastAsiaTheme="minorEastAsia" w:cs="Arial"/>
                <w:b/>
                <w:lang w:eastAsia="da-DK"/>
              </w:rPr>
            </w:pPr>
            <w:r w:rsidRPr="0063204A">
              <w:rPr>
                <w:rFonts w:eastAsiaTheme="minorEastAsia" w:cs="Arial"/>
                <w:b/>
                <w:lang w:eastAsia="da-DK"/>
              </w:rPr>
              <w:t xml:space="preserve">Ensartethed </w:t>
            </w:r>
          </w:p>
          <w:p w14:paraId="484B9246" w14:textId="77777777" w:rsidR="006410D1" w:rsidRPr="00E8539C" w:rsidRDefault="006410D1" w:rsidP="006410D1">
            <w:pPr>
              <w:spacing w:line="276" w:lineRule="auto"/>
              <w:rPr>
                <w:rFonts w:cs="Arial"/>
              </w:rPr>
            </w:pPr>
          </w:p>
        </w:tc>
        <w:tc>
          <w:tcPr>
            <w:tcW w:w="1250" w:type="pct"/>
            <w:hideMark/>
          </w:tcPr>
          <w:p w14:paraId="109B47D1" w14:textId="77777777" w:rsidR="006410D1" w:rsidRPr="00D94AFD" w:rsidRDefault="00D94AFD" w:rsidP="00D94AFD">
            <w:pPr>
              <w:pStyle w:val="Listeafsnit"/>
              <w:numPr>
                <w:ilvl w:val="0"/>
                <w:numId w:val="3"/>
              </w:numPr>
              <w:rPr>
                <w:rFonts w:cs="Arial"/>
              </w:rPr>
            </w:pPr>
            <w:r w:rsidRPr="00D94AFD">
              <w:rPr>
                <w:rFonts w:cs="Arial"/>
              </w:rPr>
              <w:t>Gennemgang af alle arbejdsbeskrivelser og vejledninger for alle sagsområder</w:t>
            </w:r>
          </w:p>
          <w:p w14:paraId="16377008" w14:textId="51C95737" w:rsidR="00D94AFD" w:rsidRPr="00D94AFD" w:rsidRDefault="00D94AFD" w:rsidP="00D94AFD">
            <w:pPr>
              <w:pStyle w:val="Listeafsnit"/>
              <w:numPr>
                <w:ilvl w:val="0"/>
                <w:numId w:val="3"/>
              </w:numPr>
              <w:rPr>
                <w:rFonts w:cs="Arial"/>
              </w:rPr>
            </w:pPr>
            <w:r w:rsidRPr="00D94AFD">
              <w:rPr>
                <w:rFonts w:cs="Arial"/>
              </w:rPr>
              <w:t xml:space="preserve">Anvende standardtekster i videst muligt omfang </w:t>
            </w:r>
          </w:p>
        </w:tc>
        <w:tc>
          <w:tcPr>
            <w:tcW w:w="1250" w:type="pct"/>
            <w:hideMark/>
          </w:tcPr>
          <w:p w14:paraId="6496249C" w14:textId="77777777" w:rsidR="006410D1" w:rsidRPr="00D94AFD" w:rsidRDefault="00D94AFD" w:rsidP="00D94AFD">
            <w:pPr>
              <w:pStyle w:val="Listeafsnit"/>
              <w:numPr>
                <w:ilvl w:val="0"/>
                <w:numId w:val="3"/>
              </w:numPr>
              <w:rPr>
                <w:rFonts w:cs="Arial"/>
              </w:rPr>
            </w:pPr>
            <w:r w:rsidRPr="00D94AFD">
              <w:rPr>
                <w:rFonts w:cs="Arial"/>
              </w:rPr>
              <w:t>Ensartethed i afdelingerne og videndeling</w:t>
            </w:r>
          </w:p>
          <w:p w14:paraId="67D1AC42" w14:textId="71A733E3" w:rsidR="00D94AFD" w:rsidRPr="00D94AFD" w:rsidRDefault="00D94AFD" w:rsidP="00D94AFD">
            <w:pPr>
              <w:pStyle w:val="Listeafsnit"/>
              <w:numPr>
                <w:ilvl w:val="0"/>
                <w:numId w:val="3"/>
              </w:numPr>
              <w:rPr>
                <w:rFonts w:cs="Arial"/>
              </w:rPr>
            </w:pPr>
            <w:r w:rsidRPr="00D94AFD">
              <w:rPr>
                <w:rFonts w:cs="Arial"/>
              </w:rPr>
              <w:t>Større tilfredshed og gennemskuelighed for vores brugere</w:t>
            </w:r>
          </w:p>
        </w:tc>
        <w:tc>
          <w:tcPr>
            <w:tcW w:w="1250" w:type="pct"/>
          </w:tcPr>
          <w:p w14:paraId="5FCA404D" w14:textId="0247A794" w:rsidR="006410D1" w:rsidRPr="00D94AFD" w:rsidRDefault="00D94AFD" w:rsidP="00D94AFD">
            <w:pPr>
              <w:pStyle w:val="Listeafsnit"/>
              <w:numPr>
                <w:ilvl w:val="0"/>
                <w:numId w:val="3"/>
              </w:numPr>
              <w:rPr>
                <w:rFonts w:cs="Arial"/>
              </w:rPr>
            </w:pPr>
            <w:r w:rsidRPr="00D94AFD">
              <w:rPr>
                <w:rFonts w:cs="Arial"/>
              </w:rPr>
              <w:t>Afdelingsledelserne</w:t>
            </w:r>
          </w:p>
        </w:tc>
      </w:tr>
      <w:tr w:rsidR="006410D1" w:rsidRPr="00E8539C" w14:paraId="17553E90" w14:textId="77777777" w:rsidTr="008275B3">
        <w:trPr>
          <w:cnfStyle w:val="000000010000" w:firstRow="0" w:lastRow="0" w:firstColumn="0" w:lastColumn="0" w:oddVBand="0" w:evenVBand="0" w:oddHBand="0" w:evenHBand="1" w:firstRowFirstColumn="0" w:firstRowLastColumn="0" w:lastRowFirstColumn="0" w:lastRowLastColumn="0"/>
          <w:trHeight w:val="1134"/>
        </w:trPr>
        <w:tc>
          <w:tcPr>
            <w:tcW w:w="1250" w:type="pct"/>
          </w:tcPr>
          <w:p w14:paraId="4AACE040" w14:textId="064213D7" w:rsidR="006410D1" w:rsidRPr="0063204A" w:rsidRDefault="008275B3" w:rsidP="006410D1">
            <w:pPr>
              <w:rPr>
                <w:rFonts w:eastAsiaTheme="minorEastAsia" w:cs="Arial"/>
                <w:b/>
                <w:lang w:eastAsia="da-DK"/>
              </w:rPr>
            </w:pPr>
            <w:r>
              <w:rPr>
                <w:rFonts w:eastAsiaTheme="minorEastAsia" w:cs="Arial"/>
                <w:b/>
                <w:lang w:eastAsia="da-DK"/>
              </w:rPr>
              <w:t>Kvalitet og effektivitet</w:t>
            </w:r>
          </w:p>
        </w:tc>
        <w:tc>
          <w:tcPr>
            <w:tcW w:w="1250" w:type="pct"/>
          </w:tcPr>
          <w:p w14:paraId="75883F89" w14:textId="77777777" w:rsidR="006410D1" w:rsidRPr="00D94AFD" w:rsidRDefault="00D94AFD" w:rsidP="00D94AFD">
            <w:pPr>
              <w:pStyle w:val="Listeafsnit"/>
              <w:numPr>
                <w:ilvl w:val="0"/>
                <w:numId w:val="4"/>
              </w:numPr>
              <w:rPr>
                <w:rFonts w:cs="Arial"/>
              </w:rPr>
            </w:pPr>
            <w:r w:rsidRPr="00D94AFD">
              <w:rPr>
                <w:rFonts w:cs="Arial"/>
              </w:rPr>
              <w:t>Stabil og fremtidssikret drift</w:t>
            </w:r>
          </w:p>
          <w:p w14:paraId="5F77B166" w14:textId="77777777" w:rsidR="00D94AFD" w:rsidRPr="00D94AFD" w:rsidRDefault="00D94AFD" w:rsidP="00D94AFD">
            <w:pPr>
              <w:pStyle w:val="Listeafsnit"/>
              <w:numPr>
                <w:ilvl w:val="0"/>
                <w:numId w:val="4"/>
              </w:numPr>
              <w:rPr>
                <w:rFonts w:cs="Arial"/>
              </w:rPr>
            </w:pPr>
            <w:r w:rsidRPr="00D94AFD">
              <w:rPr>
                <w:rFonts w:cs="Arial"/>
              </w:rPr>
              <w:t>Bedst mulig anvendelse af rettens ressourcer</w:t>
            </w:r>
          </w:p>
          <w:p w14:paraId="6523DEF3" w14:textId="477E1D4D" w:rsidR="00D94AFD" w:rsidRPr="00D94AFD" w:rsidRDefault="00D94AFD" w:rsidP="00D94AFD">
            <w:pPr>
              <w:pStyle w:val="Listeafsnit"/>
              <w:numPr>
                <w:ilvl w:val="0"/>
                <w:numId w:val="4"/>
              </w:numPr>
              <w:rPr>
                <w:rFonts w:cs="Arial"/>
              </w:rPr>
            </w:pPr>
            <w:r w:rsidRPr="00D94AFD">
              <w:rPr>
                <w:rFonts w:cs="Arial"/>
              </w:rPr>
              <w:t xml:space="preserve">Fleksible ressourcer ved rokering og varetagelse af flere sagsområder </w:t>
            </w:r>
          </w:p>
        </w:tc>
        <w:tc>
          <w:tcPr>
            <w:tcW w:w="1250" w:type="pct"/>
          </w:tcPr>
          <w:p w14:paraId="0321B891" w14:textId="77777777" w:rsidR="006410D1" w:rsidRPr="00D94AFD" w:rsidRDefault="00D94AFD" w:rsidP="00D94AFD">
            <w:pPr>
              <w:pStyle w:val="Listeafsnit"/>
              <w:numPr>
                <w:ilvl w:val="0"/>
                <w:numId w:val="4"/>
              </w:numPr>
              <w:rPr>
                <w:rFonts w:cs="Arial"/>
              </w:rPr>
            </w:pPr>
            <w:r w:rsidRPr="00D94AFD">
              <w:rPr>
                <w:rFonts w:cs="Arial"/>
              </w:rPr>
              <w:t>Vil lette arbejdet for alle medarbejdere og superbrugerne</w:t>
            </w:r>
          </w:p>
          <w:p w14:paraId="24C7E4A8" w14:textId="77777777" w:rsidR="00D94AFD" w:rsidRPr="00D94AFD" w:rsidRDefault="00D94AFD" w:rsidP="00D94AFD">
            <w:pPr>
              <w:pStyle w:val="Listeafsnit"/>
              <w:numPr>
                <w:ilvl w:val="0"/>
                <w:numId w:val="4"/>
              </w:numPr>
              <w:rPr>
                <w:rFonts w:cs="Arial"/>
              </w:rPr>
            </w:pPr>
            <w:r w:rsidRPr="00D94AFD">
              <w:rPr>
                <w:rFonts w:cs="Arial"/>
              </w:rPr>
              <w:t xml:space="preserve">Den rette balance mellem kvalitet og effektivitet </w:t>
            </w:r>
          </w:p>
          <w:p w14:paraId="19C9C009" w14:textId="77777777" w:rsidR="00D94AFD" w:rsidRPr="00D94AFD" w:rsidRDefault="00D94AFD" w:rsidP="00D94AFD">
            <w:pPr>
              <w:pStyle w:val="Listeafsnit"/>
              <w:numPr>
                <w:ilvl w:val="0"/>
                <w:numId w:val="4"/>
              </w:numPr>
              <w:rPr>
                <w:rFonts w:cs="Arial"/>
              </w:rPr>
            </w:pPr>
            <w:r w:rsidRPr="00D94AFD">
              <w:rPr>
                <w:rFonts w:cs="Arial"/>
              </w:rPr>
              <w:t xml:space="preserve">Ressourcerne kan anvendes hvor behovet </w:t>
            </w:r>
          </w:p>
          <w:p w14:paraId="2C2CF91B" w14:textId="788A754F" w:rsidR="00D94AFD" w:rsidRPr="00D94AFD" w:rsidRDefault="00D94AFD" w:rsidP="00D94AFD">
            <w:pPr>
              <w:pStyle w:val="Listeafsnit"/>
              <w:numPr>
                <w:ilvl w:val="0"/>
                <w:numId w:val="4"/>
              </w:numPr>
              <w:rPr>
                <w:rFonts w:cs="Arial"/>
              </w:rPr>
            </w:pPr>
            <w:r w:rsidRPr="00D94AFD">
              <w:rPr>
                <w:rFonts w:cs="Arial"/>
              </w:rPr>
              <w:t xml:space="preserve">Engagerede medarbejdere </w:t>
            </w:r>
          </w:p>
        </w:tc>
        <w:tc>
          <w:tcPr>
            <w:tcW w:w="1250" w:type="pct"/>
          </w:tcPr>
          <w:p w14:paraId="5CAB1644" w14:textId="77777777" w:rsidR="006410D1" w:rsidRPr="00D94AFD" w:rsidRDefault="00D94AFD" w:rsidP="00D94AFD">
            <w:pPr>
              <w:pStyle w:val="Listeafsnit"/>
              <w:numPr>
                <w:ilvl w:val="0"/>
                <w:numId w:val="4"/>
              </w:numPr>
              <w:rPr>
                <w:rFonts w:cs="Arial"/>
              </w:rPr>
            </w:pPr>
            <w:r w:rsidRPr="00D94AFD">
              <w:rPr>
                <w:rFonts w:cs="Arial"/>
              </w:rPr>
              <w:t xml:space="preserve">Afhængig af opdateringer af både eksisterende systemer og nye systemer som Domstolsstyrelsen er ansvarlige for </w:t>
            </w:r>
          </w:p>
          <w:p w14:paraId="545D38B4" w14:textId="37BBF1C1" w:rsidR="00D94AFD" w:rsidRPr="00D94AFD" w:rsidRDefault="00D94AFD" w:rsidP="00D94AFD">
            <w:pPr>
              <w:pStyle w:val="Listeafsnit"/>
              <w:numPr>
                <w:ilvl w:val="0"/>
                <w:numId w:val="4"/>
              </w:numPr>
              <w:rPr>
                <w:rFonts w:cs="Arial"/>
              </w:rPr>
            </w:pPr>
            <w:r w:rsidRPr="00D94AFD">
              <w:rPr>
                <w:rFonts w:cs="Arial"/>
              </w:rPr>
              <w:t xml:space="preserve">Administrationschefen og afdelingslederne </w:t>
            </w:r>
          </w:p>
        </w:tc>
      </w:tr>
    </w:tbl>
    <w:p w14:paraId="6E1DF646" w14:textId="0E7DCBD3" w:rsidR="00E8539C" w:rsidRDefault="00E8539C" w:rsidP="004E1C2C">
      <w:pPr>
        <w:rPr>
          <w:rFonts w:cs="Arial"/>
        </w:rPr>
      </w:pPr>
    </w:p>
    <w:p w14:paraId="0B0122D1" w14:textId="77777777" w:rsidR="00E8539C" w:rsidRDefault="00E8539C" w:rsidP="004E1C2C">
      <w:pPr>
        <w:rPr>
          <w:rFonts w:cs="Arial"/>
        </w:rPr>
      </w:pPr>
    </w:p>
    <w:p w14:paraId="0957C960" w14:textId="77777777" w:rsidR="003F22F4" w:rsidRPr="004223FA" w:rsidRDefault="003F22F4" w:rsidP="004223FA"/>
    <w:p w14:paraId="3A8A4E91" w14:textId="508333FA" w:rsidR="00931953" w:rsidRDefault="0009199C" w:rsidP="00DC17E7">
      <w:pPr>
        <w:rPr>
          <w:rFonts w:eastAsiaTheme="minorEastAsia" w:cs="Arial"/>
          <w:b/>
          <w:sz w:val="24"/>
          <w:szCs w:val="24"/>
          <w:lang w:eastAsia="da-DK"/>
        </w:rPr>
      </w:pPr>
      <w:r w:rsidRPr="0063204A">
        <w:rPr>
          <w:rFonts w:eastAsiaTheme="minorEastAsia" w:cs="Arial"/>
          <w:b/>
          <w:sz w:val="24"/>
          <w:szCs w:val="24"/>
          <w:lang w:eastAsia="da-DK"/>
        </w:rPr>
        <w:t>Øvrige indsatser</w:t>
      </w:r>
    </w:p>
    <w:p w14:paraId="546DEB24" w14:textId="17E29E72" w:rsidR="00D94AFD" w:rsidRDefault="00D94AFD" w:rsidP="00DC17E7">
      <w:pPr>
        <w:rPr>
          <w:rFonts w:eastAsiaTheme="minorEastAsia" w:cs="Arial"/>
          <w:b/>
          <w:sz w:val="24"/>
          <w:szCs w:val="24"/>
          <w:lang w:eastAsia="da-DK"/>
        </w:rPr>
      </w:pPr>
    </w:p>
    <w:p w14:paraId="66F4DBE7" w14:textId="0D821C87" w:rsidR="00931953" w:rsidRPr="00931953" w:rsidRDefault="00D94AFD" w:rsidP="00DC17E7">
      <w:pPr>
        <w:rPr>
          <w:rFonts w:cs="Arial"/>
        </w:rPr>
      </w:pPr>
      <w:r>
        <w:rPr>
          <w:rFonts w:eastAsiaTheme="minorEastAsia" w:cs="Arial"/>
          <w:b/>
          <w:sz w:val="24"/>
          <w:szCs w:val="24"/>
          <w:lang w:eastAsia="da-DK"/>
        </w:rPr>
        <w:lastRenderedPageBreak/>
        <w:t xml:space="preserve">Retten i Holstebro vil være en attraktiv arbejdsplads. Visionen er en fortsat udvikling af en kreativ arbejdsplads med samarbejde på tværs af faggrænser og på tværs af hele huset. </w:t>
      </w:r>
    </w:p>
    <w:tbl>
      <w:tblPr>
        <w:tblStyle w:val="Handlingsplan"/>
        <w:tblW w:w="5000" w:type="pct"/>
        <w:tblLook w:val="04A0" w:firstRow="1" w:lastRow="0" w:firstColumn="1" w:lastColumn="0" w:noHBand="0" w:noVBand="1"/>
      </w:tblPr>
      <w:tblGrid>
        <w:gridCol w:w="6541"/>
        <w:gridCol w:w="3595"/>
        <w:gridCol w:w="3300"/>
      </w:tblGrid>
      <w:tr w:rsidR="002B7EBB" w14:paraId="1E9ED383" w14:textId="77777777" w:rsidTr="008275B3">
        <w:trPr>
          <w:cnfStyle w:val="100000000000" w:firstRow="1" w:lastRow="0" w:firstColumn="0" w:lastColumn="0" w:oddVBand="0" w:evenVBand="0" w:oddHBand="0" w:evenHBand="0" w:firstRowFirstColumn="0" w:firstRowLastColumn="0" w:lastRowFirstColumn="0" w:lastRowLastColumn="0"/>
          <w:trHeight w:val="567"/>
        </w:trPr>
        <w:tc>
          <w:tcPr>
            <w:tcW w:w="2434" w:type="pct"/>
          </w:tcPr>
          <w:p w14:paraId="5AA514D8" w14:textId="77777777" w:rsidR="002B7EBB" w:rsidRPr="0063204A" w:rsidRDefault="002B7EBB" w:rsidP="0063204A">
            <w:pPr>
              <w:spacing w:line="276" w:lineRule="auto"/>
              <w:rPr>
                <w:rFonts w:eastAsiaTheme="minorEastAsia" w:cs="Arial"/>
                <w:b/>
                <w:lang w:eastAsia="da-DK"/>
              </w:rPr>
            </w:pPr>
            <w:r w:rsidRPr="0063204A">
              <w:rPr>
                <w:rFonts w:eastAsiaTheme="minorEastAsia" w:cs="Arial"/>
                <w:b/>
                <w:lang w:eastAsia="da-DK"/>
              </w:rPr>
              <w:t>Aktiviteter og leverancer</w:t>
            </w:r>
          </w:p>
        </w:tc>
        <w:tc>
          <w:tcPr>
            <w:tcW w:w="1338" w:type="pct"/>
          </w:tcPr>
          <w:p w14:paraId="0A1D79D7" w14:textId="77777777" w:rsidR="002B7EBB" w:rsidRPr="0063204A" w:rsidRDefault="002B7EBB" w:rsidP="0063204A">
            <w:pPr>
              <w:spacing w:line="276" w:lineRule="auto"/>
              <w:rPr>
                <w:rFonts w:eastAsiaTheme="minorEastAsia" w:cs="Arial"/>
                <w:b/>
                <w:lang w:eastAsia="da-DK"/>
              </w:rPr>
            </w:pPr>
            <w:r w:rsidRPr="0063204A">
              <w:rPr>
                <w:rFonts w:eastAsiaTheme="minorEastAsia" w:cs="Arial"/>
                <w:b/>
                <w:lang w:eastAsia="da-DK"/>
              </w:rPr>
              <w:t xml:space="preserve">Værdi og effekt </w:t>
            </w:r>
          </w:p>
        </w:tc>
        <w:tc>
          <w:tcPr>
            <w:tcW w:w="1229" w:type="pct"/>
          </w:tcPr>
          <w:p w14:paraId="27D7D8A4" w14:textId="77777777" w:rsidR="002B7EBB" w:rsidRPr="0063204A" w:rsidRDefault="002B7EBB" w:rsidP="0063204A">
            <w:pPr>
              <w:spacing w:line="276" w:lineRule="auto"/>
              <w:rPr>
                <w:rFonts w:eastAsiaTheme="minorEastAsia" w:cs="Arial"/>
                <w:b/>
                <w:lang w:eastAsia="da-DK"/>
              </w:rPr>
            </w:pPr>
            <w:r w:rsidRPr="0063204A">
              <w:rPr>
                <w:rFonts w:eastAsiaTheme="minorEastAsia" w:cs="Arial"/>
                <w:b/>
                <w:lang w:eastAsia="da-DK"/>
              </w:rPr>
              <w:t>Ansvarlig/Status</w:t>
            </w:r>
          </w:p>
        </w:tc>
      </w:tr>
      <w:tr w:rsidR="002B7EBB" w14:paraId="491296F0" w14:textId="77777777" w:rsidTr="008275B3">
        <w:trPr>
          <w:cnfStyle w:val="000000100000" w:firstRow="0" w:lastRow="0" w:firstColumn="0" w:lastColumn="0" w:oddVBand="0" w:evenVBand="0" w:oddHBand="1" w:evenHBand="0" w:firstRowFirstColumn="0" w:firstRowLastColumn="0" w:lastRowFirstColumn="0" w:lastRowLastColumn="0"/>
          <w:trHeight w:val="1134"/>
        </w:trPr>
        <w:tc>
          <w:tcPr>
            <w:tcW w:w="2434" w:type="pct"/>
          </w:tcPr>
          <w:p w14:paraId="0F6BE05A" w14:textId="77777777" w:rsidR="002B7EBB" w:rsidRDefault="00D94AFD" w:rsidP="008F063C">
            <w:r>
              <w:t>Pilotret for straffe- og skiftesystem</w:t>
            </w:r>
          </w:p>
          <w:p w14:paraId="3A30B279" w14:textId="77777777" w:rsidR="007D1160" w:rsidRDefault="007D1160" w:rsidP="008F063C"/>
          <w:p w14:paraId="4E250A74" w14:textId="1D549F81" w:rsidR="007D1160" w:rsidRDefault="007D1160" w:rsidP="008F063C">
            <w:r>
              <w:t>Retten stiller ressourcer til rådighed i pilotprojektet og opnår derved kendskab til det nye system</w:t>
            </w:r>
          </w:p>
        </w:tc>
        <w:tc>
          <w:tcPr>
            <w:tcW w:w="1338" w:type="pct"/>
          </w:tcPr>
          <w:p w14:paraId="7E0ED103" w14:textId="43918009" w:rsidR="002B7EBB" w:rsidRDefault="007D1160" w:rsidP="007D1160">
            <w:pPr>
              <w:pStyle w:val="Listeafsnit"/>
              <w:numPr>
                <w:ilvl w:val="0"/>
                <w:numId w:val="7"/>
              </w:numPr>
            </w:pPr>
            <w:r>
              <w:t xml:space="preserve">Der opnås kendskab til det nye system og mulighed for indflydelse </w:t>
            </w:r>
          </w:p>
        </w:tc>
        <w:tc>
          <w:tcPr>
            <w:tcW w:w="1229" w:type="pct"/>
          </w:tcPr>
          <w:p w14:paraId="19756E3B" w14:textId="531C8F79" w:rsidR="002B7EBB" w:rsidRDefault="007D1160" w:rsidP="007D1160">
            <w:pPr>
              <w:pStyle w:val="Listeafsnit"/>
              <w:numPr>
                <w:ilvl w:val="0"/>
                <w:numId w:val="5"/>
              </w:numPr>
            </w:pPr>
            <w:r>
              <w:t>Afdelingsledelserne/administrationschefen</w:t>
            </w:r>
          </w:p>
        </w:tc>
      </w:tr>
      <w:tr w:rsidR="002B7EBB" w14:paraId="40A4A268" w14:textId="77777777" w:rsidTr="008275B3">
        <w:trPr>
          <w:cnfStyle w:val="000000010000" w:firstRow="0" w:lastRow="0" w:firstColumn="0" w:lastColumn="0" w:oddVBand="0" w:evenVBand="0" w:oddHBand="0" w:evenHBand="1" w:firstRowFirstColumn="0" w:firstRowLastColumn="0" w:lastRowFirstColumn="0" w:lastRowLastColumn="0"/>
          <w:trHeight w:val="1134"/>
        </w:trPr>
        <w:tc>
          <w:tcPr>
            <w:tcW w:w="2434" w:type="pct"/>
          </w:tcPr>
          <w:p w14:paraId="2BEE7F79" w14:textId="77777777" w:rsidR="002B7EBB" w:rsidRDefault="00D94AFD" w:rsidP="008F063C">
            <w:r>
              <w:t>Implementering af Statens HR</w:t>
            </w:r>
          </w:p>
          <w:p w14:paraId="5C91A4E2" w14:textId="77777777" w:rsidR="007D1160" w:rsidRDefault="007D1160" w:rsidP="008F063C"/>
          <w:p w14:paraId="6935564B" w14:textId="70088306" w:rsidR="007D1160" w:rsidRDefault="007D1160" w:rsidP="008F063C">
            <w:r>
              <w:t>Ressourcer til implementeringen frigøres</w:t>
            </w:r>
          </w:p>
        </w:tc>
        <w:tc>
          <w:tcPr>
            <w:tcW w:w="1338" w:type="pct"/>
          </w:tcPr>
          <w:p w14:paraId="3E3C64AC" w14:textId="1C9EA28F" w:rsidR="002B7EBB" w:rsidRDefault="00C552BB" w:rsidP="007D1160">
            <w:pPr>
              <w:pStyle w:val="Listeafsnit"/>
              <w:numPr>
                <w:ilvl w:val="0"/>
                <w:numId w:val="6"/>
              </w:numPr>
            </w:pPr>
            <w:r>
              <w:t>Ensartethed af HR inden for Staten</w:t>
            </w:r>
          </w:p>
        </w:tc>
        <w:tc>
          <w:tcPr>
            <w:tcW w:w="1229" w:type="pct"/>
          </w:tcPr>
          <w:p w14:paraId="2DEEE3C4" w14:textId="2AE3C78E" w:rsidR="002B7EBB" w:rsidRDefault="007D1160" w:rsidP="007D1160">
            <w:pPr>
              <w:pStyle w:val="Listeafsnit"/>
              <w:numPr>
                <w:ilvl w:val="0"/>
                <w:numId w:val="6"/>
              </w:numPr>
            </w:pPr>
            <w:r>
              <w:t>Administrationschefen</w:t>
            </w:r>
          </w:p>
        </w:tc>
      </w:tr>
      <w:tr w:rsidR="00D94AFD" w14:paraId="071C85A6" w14:textId="77777777" w:rsidTr="008275B3">
        <w:trPr>
          <w:cnfStyle w:val="000000100000" w:firstRow="0" w:lastRow="0" w:firstColumn="0" w:lastColumn="0" w:oddVBand="0" w:evenVBand="0" w:oddHBand="1" w:evenHBand="0" w:firstRowFirstColumn="0" w:firstRowLastColumn="0" w:lastRowFirstColumn="0" w:lastRowLastColumn="0"/>
          <w:trHeight w:val="1134"/>
        </w:trPr>
        <w:tc>
          <w:tcPr>
            <w:tcW w:w="2434" w:type="pct"/>
          </w:tcPr>
          <w:p w14:paraId="477E48B7" w14:textId="77777777" w:rsidR="00D94AFD" w:rsidRDefault="00D94AFD" w:rsidP="008F063C">
            <w:r>
              <w:t xml:space="preserve">Attraktiv arbejdsplads </w:t>
            </w:r>
          </w:p>
          <w:p w14:paraId="097E252E" w14:textId="77777777" w:rsidR="007D1160" w:rsidRDefault="007D1160" w:rsidP="008F063C"/>
          <w:p w14:paraId="224979B4" w14:textId="4858CB0E" w:rsidR="007D1160" w:rsidRDefault="007D1160" w:rsidP="008F063C">
            <w:r>
              <w:t>Lokal aftale for hjemmearbejde</w:t>
            </w:r>
          </w:p>
        </w:tc>
        <w:tc>
          <w:tcPr>
            <w:tcW w:w="1338" w:type="pct"/>
          </w:tcPr>
          <w:p w14:paraId="77CEAA8E" w14:textId="2649A95C" w:rsidR="00D94AFD" w:rsidRDefault="00C552BB" w:rsidP="00C552BB">
            <w:pPr>
              <w:pStyle w:val="Listeafsnit"/>
              <w:numPr>
                <w:ilvl w:val="0"/>
                <w:numId w:val="10"/>
              </w:numPr>
            </w:pPr>
            <w:r>
              <w:t xml:space="preserve">Større arbejdsglæde og et godt ledelsesværktøj. Fleksibilitet. </w:t>
            </w:r>
          </w:p>
        </w:tc>
        <w:tc>
          <w:tcPr>
            <w:tcW w:w="1229" w:type="pct"/>
          </w:tcPr>
          <w:p w14:paraId="4E720451" w14:textId="7D183F84" w:rsidR="00D94AFD" w:rsidRDefault="00C552BB" w:rsidP="00C552BB">
            <w:pPr>
              <w:pStyle w:val="Listeafsnit"/>
              <w:numPr>
                <w:ilvl w:val="0"/>
                <w:numId w:val="10"/>
              </w:numPr>
            </w:pPr>
            <w:r>
              <w:t xml:space="preserve">Ledergruppen </w:t>
            </w:r>
          </w:p>
        </w:tc>
      </w:tr>
      <w:tr w:rsidR="00D94AFD" w14:paraId="744B86B3" w14:textId="77777777" w:rsidTr="008275B3">
        <w:trPr>
          <w:cnfStyle w:val="000000010000" w:firstRow="0" w:lastRow="0" w:firstColumn="0" w:lastColumn="0" w:oddVBand="0" w:evenVBand="0" w:oddHBand="0" w:evenHBand="1" w:firstRowFirstColumn="0" w:firstRowLastColumn="0" w:lastRowFirstColumn="0" w:lastRowLastColumn="0"/>
          <w:trHeight w:val="1134"/>
        </w:trPr>
        <w:tc>
          <w:tcPr>
            <w:tcW w:w="2434" w:type="pct"/>
          </w:tcPr>
          <w:p w14:paraId="75E77C60" w14:textId="73C040EE" w:rsidR="00D94AFD" w:rsidRDefault="007D1160" w:rsidP="008F063C">
            <w:r>
              <w:t>K</w:t>
            </w:r>
            <w:r w:rsidR="00D94AFD">
              <w:t>ompetenceudvikling af medarbejderne</w:t>
            </w:r>
          </w:p>
          <w:p w14:paraId="7DBCD527" w14:textId="39818E7D" w:rsidR="007D1160" w:rsidRDefault="007D1160" w:rsidP="008F063C"/>
          <w:p w14:paraId="3A441811" w14:textId="2170044A" w:rsidR="007D1160" w:rsidRDefault="007D1160" w:rsidP="008F063C">
            <w:r>
              <w:t>Fokus på kompetencerne hos den enkelte medarbejder og holde fast i et primært og et sekundært arbejdsområde</w:t>
            </w:r>
          </w:p>
          <w:p w14:paraId="2BA0AC74" w14:textId="4C9B529B" w:rsidR="007D1160" w:rsidRDefault="007D1160" w:rsidP="008F063C"/>
        </w:tc>
        <w:tc>
          <w:tcPr>
            <w:tcW w:w="1338" w:type="pct"/>
          </w:tcPr>
          <w:p w14:paraId="4E04A446" w14:textId="5D8AED69" w:rsidR="00D94AFD" w:rsidRDefault="007D1160" w:rsidP="007D1160">
            <w:pPr>
              <w:pStyle w:val="Listeafsnit"/>
              <w:numPr>
                <w:ilvl w:val="0"/>
                <w:numId w:val="8"/>
              </w:numPr>
            </w:pPr>
            <w:r>
              <w:t>Mindre sårbare og muligheden for hurtigt at sætte ind, når der opstår flaskehalse</w:t>
            </w:r>
          </w:p>
        </w:tc>
        <w:tc>
          <w:tcPr>
            <w:tcW w:w="1229" w:type="pct"/>
          </w:tcPr>
          <w:p w14:paraId="231EEBDF" w14:textId="413C3020" w:rsidR="00D94AFD" w:rsidRDefault="007D1160" w:rsidP="007D1160">
            <w:pPr>
              <w:pStyle w:val="Listeafsnit"/>
              <w:numPr>
                <w:ilvl w:val="0"/>
                <w:numId w:val="9"/>
              </w:numPr>
            </w:pPr>
            <w:r>
              <w:t>Administrationschefen/afdelingslederne</w:t>
            </w:r>
          </w:p>
        </w:tc>
      </w:tr>
      <w:tr w:rsidR="00D94AFD" w14:paraId="06A0AE3C" w14:textId="77777777" w:rsidTr="008275B3">
        <w:trPr>
          <w:cnfStyle w:val="000000100000" w:firstRow="0" w:lastRow="0" w:firstColumn="0" w:lastColumn="0" w:oddVBand="0" w:evenVBand="0" w:oddHBand="1" w:evenHBand="0" w:firstRowFirstColumn="0" w:firstRowLastColumn="0" w:lastRowFirstColumn="0" w:lastRowLastColumn="0"/>
          <w:trHeight w:val="1134"/>
        </w:trPr>
        <w:tc>
          <w:tcPr>
            <w:tcW w:w="2434" w:type="pct"/>
          </w:tcPr>
          <w:p w14:paraId="52D88CEC" w14:textId="77777777" w:rsidR="00D94AFD" w:rsidRDefault="00D94AFD" w:rsidP="008F063C">
            <w:r>
              <w:t xml:space="preserve">Temadag </w:t>
            </w:r>
          </w:p>
          <w:p w14:paraId="0197B292" w14:textId="77777777" w:rsidR="007D1160" w:rsidRDefault="007D1160" w:rsidP="008F063C"/>
          <w:p w14:paraId="7C6D3C00" w14:textId="1A3D4E4E" w:rsidR="007D1160" w:rsidRDefault="007D1160" w:rsidP="008F063C">
            <w:r>
              <w:t xml:space="preserve">Mulighed for fordybelse </w:t>
            </w:r>
          </w:p>
        </w:tc>
        <w:tc>
          <w:tcPr>
            <w:tcW w:w="1338" w:type="pct"/>
          </w:tcPr>
          <w:p w14:paraId="05A3B9D9" w14:textId="40D1B737" w:rsidR="00D94AFD" w:rsidRDefault="007D1160" w:rsidP="007D1160">
            <w:pPr>
              <w:pStyle w:val="Listeafsnit"/>
              <w:numPr>
                <w:ilvl w:val="0"/>
                <w:numId w:val="9"/>
              </w:numPr>
            </w:pPr>
            <w:r>
              <w:t>Skaber sammenhold på tværs af afdelingerne og i hele huset</w:t>
            </w:r>
          </w:p>
        </w:tc>
        <w:tc>
          <w:tcPr>
            <w:tcW w:w="1229" w:type="pct"/>
          </w:tcPr>
          <w:p w14:paraId="751D7865" w14:textId="499FEB45" w:rsidR="00D94AFD" w:rsidRDefault="007D1160" w:rsidP="007D1160">
            <w:pPr>
              <w:pStyle w:val="Listeafsnit"/>
              <w:numPr>
                <w:ilvl w:val="0"/>
                <w:numId w:val="9"/>
              </w:numPr>
            </w:pPr>
            <w:r>
              <w:t xml:space="preserve">Der nedsættes et udvalg </w:t>
            </w:r>
          </w:p>
        </w:tc>
      </w:tr>
    </w:tbl>
    <w:p w14:paraId="56409C69" w14:textId="16F499D8" w:rsidR="00931953" w:rsidRPr="00931953" w:rsidRDefault="00931953" w:rsidP="00DC17E7">
      <w:pPr>
        <w:rPr>
          <w:rFonts w:cs="Arial"/>
        </w:rPr>
      </w:pPr>
    </w:p>
    <w:sectPr w:rsidR="00931953" w:rsidRPr="00931953" w:rsidSect="00CB2AF0">
      <w:footerReference w:type="default" r:id="rId12"/>
      <w:headerReference w:type="first" r:id="rId13"/>
      <w:footerReference w:type="first" r:id="rId14"/>
      <w:pgSz w:w="16838" w:h="11906" w:orient="landscape"/>
      <w:pgMar w:top="1134" w:right="1701"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B5707" w14:textId="77777777" w:rsidR="002E7CC8" w:rsidRDefault="002E7CC8" w:rsidP="00904752">
      <w:pPr>
        <w:spacing w:line="240" w:lineRule="auto"/>
      </w:pPr>
      <w:r>
        <w:separator/>
      </w:r>
    </w:p>
  </w:endnote>
  <w:endnote w:type="continuationSeparator" w:id="0">
    <w:p w14:paraId="77485810" w14:textId="77777777" w:rsidR="002E7CC8" w:rsidRDefault="002E7CC8" w:rsidP="009047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01540"/>
      <w:docPartObj>
        <w:docPartGallery w:val="Page Numbers (Bottom of Page)"/>
        <w:docPartUnique/>
      </w:docPartObj>
    </w:sdtPr>
    <w:sdtEndPr/>
    <w:sdtContent>
      <w:p w14:paraId="532EBD5D" w14:textId="7823D93E" w:rsidR="00904752" w:rsidRDefault="00C24837">
        <w:pPr>
          <w:pStyle w:val="Sidefod"/>
          <w:jc w:val="center"/>
        </w:pPr>
        <w:r>
          <w:fldChar w:fldCharType="begin"/>
        </w:r>
        <w:r>
          <w:instrText xml:space="preserve"> PAGE   \* MERGEFORMAT </w:instrText>
        </w:r>
        <w:r>
          <w:fldChar w:fldCharType="separate"/>
        </w:r>
        <w:r w:rsidR="00904752">
          <w:rPr>
            <w:noProof/>
          </w:rPr>
          <w:t>1</w:t>
        </w:r>
        <w:r>
          <w:rPr>
            <w:noProof/>
          </w:rPr>
          <w:fldChar w:fldCharType="end"/>
        </w:r>
      </w:p>
    </w:sdtContent>
  </w:sdt>
  <w:p w14:paraId="43236A28" w14:textId="77777777" w:rsidR="00904752" w:rsidRDefault="0090475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5145442"/>
      <w:docPartObj>
        <w:docPartGallery w:val="Page Numbers (Bottom of Page)"/>
        <w:docPartUnique/>
      </w:docPartObj>
    </w:sdtPr>
    <w:sdtEndPr/>
    <w:sdtContent>
      <w:sdt>
        <w:sdtPr>
          <w:id w:val="-1769616900"/>
          <w:docPartObj>
            <w:docPartGallery w:val="Page Numbers (Top of Page)"/>
            <w:docPartUnique/>
          </w:docPartObj>
        </w:sdtPr>
        <w:sdtEndPr/>
        <w:sdtContent>
          <w:p w14:paraId="08AB6BE6" w14:textId="6FE41C1E" w:rsidR="001E7C96" w:rsidRPr="001E7C96" w:rsidRDefault="001E7C96">
            <w:pPr>
              <w:pStyle w:val="Sidefod"/>
              <w:jc w:val="right"/>
            </w:pPr>
            <w:r w:rsidRPr="001E7C96">
              <w:t xml:space="preserve">Side </w:t>
            </w:r>
            <w:r w:rsidRPr="001E7C96">
              <w:rPr>
                <w:bCs/>
                <w:sz w:val="24"/>
                <w:szCs w:val="24"/>
              </w:rPr>
              <w:fldChar w:fldCharType="begin"/>
            </w:r>
            <w:r w:rsidRPr="001E7C96">
              <w:rPr>
                <w:bCs/>
              </w:rPr>
              <w:instrText>PAGE</w:instrText>
            </w:r>
            <w:r w:rsidRPr="001E7C96">
              <w:rPr>
                <w:bCs/>
                <w:sz w:val="24"/>
                <w:szCs w:val="24"/>
              </w:rPr>
              <w:fldChar w:fldCharType="separate"/>
            </w:r>
            <w:r w:rsidR="003546CF">
              <w:rPr>
                <w:bCs/>
                <w:noProof/>
              </w:rPr>
              <w:t>1</w:t>
            </w:r>
            <w:r w:rsidRPr="001E7C96">
              <w:rPr>
                <w:bCs/>
                <w:sz w:val="24"/>
                <w:szCs w:val="24"/>
              </w:rPr>
              <w:fldChar w:fldCharType="end"/>
            </w:r>
            <w:r w:rsidRPr="001E7C96">
              <w:t xml:space="preserve"> af </w:t>
            </w:r>
            <w:r w:rsidRPr="001E7C96">
              <w:rPr>
                <w:bCs/>
                <w:sz w:val="24"/>
                <w:szCs w:val="24"/>
              </w:rPr>
              <w:fldChar w:fldCharType="begin"/>
            </w:r>
            <w:r w:rsidRPr="001E7C96">
              <w:rPr>
                <w:bCs/>
              </w:rPr>
              <w:instrText>NUMPAGES</w:instrText>
            </w:r>
            <w:r w:rsidRPr="001E7C96">
              <w:rPr>
                <w:bCs/>
                <w:sz w:val="24"/>
                <w:szCs w:val="24"/>
              </w:rPr>
              <w:fldChar w:fldCharType="separate"/>
            </w:r>
            <w:r w:rsidR="003546CF">
              <w:rPr>
                <w:bCs/>
                <w:noProof/>
              </w:rPr>
              <w:t>1</w:t>
            </w:r>
            <w:r w:rsidRPr="001E7C96">
              <w:rPr>
                <w:bCs/>
                <w:sz w:val="24"/>
                <w:szCs w:val="24"/>
              </w:rPr>
              <w:fldChar w:fldCharType="end"/>
            </w:r>
          </w:p>
        </w:sdtContent>
      </w:sdt>
    </w:sdtContent>
  </w:sdt>
  <w:p w14:paraId="33570B15" w14:textId="77777777" w:rsidR="001E7C96" w:rsidRDefault="001E7C9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D2E86" w14:textId="77777777" w:rsidR="002E7CC8" w:rsidRDefault="002E7CC8" w:rsidP="00904752">
      <w:pPr>
        <w:spacing w:line="240" w:lineRule="auto"/>
      </w:pPr>
      <w:r>
        <w:separator/>
      </w:r>
    </w:p>
  </w:footnote>
  <w:footnote w:type="continuationSeparator" w:id="0">
    <w:p w14:paraId="4B78AD31" w14:textId="77777777" w:rsidR="002E7CC8" w:rsidRDefault="002E7CC8" w:rsidP="009047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4EEDB" w14:textId="1B832983" w:rsidR="00C8767E" w:rsidRDefault="007E3B66">
    <w:pPr>
      <w:pStyle w:val="Sidehoved"/>
    </w:pPr>
    <w:r>
      <w:rPr>
        <w:noProof/>
      </w:rPr>
      <w:drawing>
        <wp:anchor distT="0" distB="0" distL="114300" distR="114300" simplePos="0" relativeHeight="251658240" behindDoc="0" locked="0" layoutInCell="1" allowOverlap="1" wp14:anchorId="11DC5112" wp14:editId="375ED1B2">
          <wp:simplePos x="0" y="0"/>
          <wp:positionH relativeFrom="leftMargin">
            <wp:posOffset>8641080</wp:posOffset>
          </wp:positionH>
          <wp:positionV relativeFrom="page">
            <wp:posOffset>507365</wp:posOffset>
          </wp:positionV>
          <wp:extent cx="1054800" cy="842400"/>
          <wp:effectExtent l="0" t="0" r="0" b="0"/>
          <wp:wrapNone/>
          <wp:docPr id="1" name="Billede 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54800" cy="842400"/>
                  </a:xfrm>
                  <a:prstGeom prst="rect">
                    <a:avLst/>
                  </a:prstGeom>
                </pic:spPr>
              </pic:pic>
            </a:graphicData>
          </a:graphic>
          <wp14:sizeRelH relativeFrom="margin">
            <wp14:pctWidth>0</wp14:pctWidth>
          </wp14:sizeRelH>
          <wp14:sizeRelV relativeFrom="margin">
            <wp14:pctHeight>0</wp14:pctHeight>
          </wp14:sizeRelV>
        </wp:anchor>
      </w:drawing>
    </w:r>
  </w:p>
  <w:p w14:paraId="5C9C11D0" w14:textId="77777777" w:rsidR="00C8767E" w:rsidRDefault="00C8767E">
    <w:pPr>
      <w:pStyle w:val="Sidehoved"/>
    </w:pPr>
  </w:p>
  <w:p w14:paraId="6A6432A0" w14:textId="77777777" w:rsidR="00C8767E" w:rsidRDefault="00C8767E">
    <w:pPr>
      <w:pStyle w:val="Sidehoved"/>
    </w:pPr>
  </w:p>
  <w:p w14:paraId="20F70AB4" w14:textId="77777777" w:rsidR="00C8767E" w:rsidRDefault="00C8767E">
    <w:pPr>
      <w:pStyle w:val="Sidehoved"/>
    </w:pPr>
  </w:p>
  <w:p w14:paraId="4062686B" w14:textId="77777777" w:rsidR="00C8767E" w:rsidRDefault="00C8767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A0806"/>
    <w:multiLevelType w:val="hybridMultilevel"/>
    <w:tmpl w:val="254EAA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1547838"/>
    <w:multiLevelType w:val="hybridMultilevel"/>
    <w:tmpl w:val="556ECD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5590237"/>
    <w:multiLevelType w:val="hybridMultilevel"/>
    <w:tmpl w:val="FED4AF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4235819"/>
    <w:multiLevelType w:val="hybridMultilevel"/>
    <w:tmpl w:val="D35850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D0E0519"/>
    <w:multiLevelType w:val="hybridMultilevel"/>
    <w:tmpl w:val="716474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FE90601"/>
    <w:multiLevelType w:val="hybridMultilevel"/>
    <w:tmpl w:val="FFE6DE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BF37BF8"/>
    <w:multiLevelType w:val="hybridMultilevel"/>
    <w:tmpl w:val="2E222F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C36729F"/>
    <w:multiLevelType w:val="hybridMultilevel"/>
    <w:tmpl w:val="806AF6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A722162"/>
    <w:multiLevelType w:val="hybridMultilevel"/>
    <w:tmpl w:val="B9B04B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66C0314"/>
    <w:multiLevelType w:val="hybridMultilevel"/>
    <w:tmpl w:val="599C13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7"/>
  </w:num>
  <w:num w:numId="5">
    <w:abstractNumId w:val="9"/>
  </w:num>
  <w:num w:numId="6">
    <w:abstractNumId w:val="2"/>
  </w:num>
  <w:num w:numId="7">
    <w:abstractNumId w:val="5"/>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efaultTabStop w:val="1304"/>
  <w:autoHyphenation/>
  <w:hyphenationZone w:val="425"/>
  <w:defaultTableStyle w:val="Handlingsplan"/>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680"/>
    <w:rsid w:val="0000425D"/>
    <w:rsid w:val="000541E0"/>
    <w:rsid w:val="0006167C"/>
    <w:rsid w:val="000630B3"/>
    <w:rsid w:val="00085A87"/>
    <w:rsid w:val="0009199C"/>
    <w:rsid w:val="00092640"/>
    <w:rsid w:val="000958B2"/>
    <w:rsid w:val="000D3747"/>
    <w:rsid w:val="000D7072"/>
    <w:rsid w:val="000F6E50"/>
    <w:rsid w:val="00126384"/>
    <w:rsid w:val="00186101"/>
    <w:rsid w:val="001E7C96"/>
    <w:rsid w:val="00203B78"/>
    <w:rsid w:val="00210F65"/>
    <w:rsid w:val="00240D6B"/>
    <w:rsid w:val="00264086"/>
    <w:rsid w:val="00285958"/>
    <w:rsid w:val="002A0C04"/>
    <w:rsid w:val="002A67A6"/>
    <w:rsid w:val="002B0E69"/>
    <w:rsid w:val="002B7EBB"/>
    <w:rsid w:val="002E3040"/>
    <w:rsid w:val="002E7CC8"/>
    <w:rsid w:val="002F4555"/>
    <w:rsid w:val="002F7BB3"/>
    <w:rsid w:val="00323537"/>
    <w:rsid w:val="00344ABD"/>
    <w:rsid w:val="003523D2"/>
    <w:rsid w:val="003546CF"/>
    <w:rsid w:val="003B08CC"/>
    <w:rsid w:val="003B3687"/>
    <w:rsid w:val="003B45E5"/>
    <w:rsid w:val="003C4088"/>
    <w:rsid w:val="003D409A"/>
    <w:rsid w:val="003E555F"/>
    <w:rsid w:val="003F22F4"/>
    <w:rsid w:val="004218F2"/>
    <w:rsid w:val="004223FA"/>
    <w:rsid w:val="0045483E"/>
    <w:rsid w:val="00473833"/>
    <w:rsid w:val="00474386"/>
    <w:rsid w:val="00474EB6"/>
    <w:rsid w:val="004B2C73"/>
    <w:rsid w:val="004B7310"/>
    <w:rsid w:val="004E1C2C"/>
    <w:rsid w:val="00514183"/>
    <w:rsid w:val="005376D3"/>
    <w:rsid w:val="00542C67"/>
    <w:rsid w:val="005534FD"/>
    <w:rsid w:val="005B35B3"/>
    <w:rsid w:val="005D3315"/>
    <w:rsid w:val="005D6A95"/>
    <w:rsid w:val="005F7F5A"/>
    <w:rsid w:val="006105A0"/>
    <w:rsid w:val="00621F9B"/>
    <w:rsid w:val="00622480"/>
    <w:rsid w:val="00623B46"/>
    <w:rsid w:val="0063204A"/>
    <w:rsid w:val="00640D29"/>
    <w:rsid w:val="006410D1"/>
    <w:rsid w:val="006F72AA"/>
    <w:rsid w:val="006F75E7"/>
    <w:rsid w:val="00702D35"/>
    <w:rsid w:val="007033D6"/>
    <w:rsid w:val="00711438"/>
    <w:rsid w:val="00717621"/>
    <w:rsid w:val="007258B8"/>
    <w:rsid w:val="007270A3"/>
    <w:rsid w:val="00731126"/>
    <w:rsid w:val="007376D7"/>
    <w:rsid w:val="00744C43"/>
    <w:rsid w:val="007521A8"/>
    <w:rsid w:val="00764CBE"/>
    <w:rsid w:val="00777D1B"/>
    <w:rsid w:val="0078736A"/>
    <w:rsid w:val="007B5D0E"/>
    <w:rsid w:val="007B7DF5"/>
    <w:rsid w:val="007D1160"/>
    <w:rsid w:val="007E3B66"/>
    <w:rsid w:val="007E6569"/>
    <w:rsid w:val="00810811"/>
    <w:rsid w:val="008275B3"/>
    <w:rsid w:val="00835137"/>
    <w:rsid w:val="0084144F"/>
    <w:rsid w:val="00841680"/>
    <w:rsid w:val="0085106F"/>
    <w:rsid w:val="00853008"/>
    <w:rsid w:val="00874604"/>
    <w:rsid w:val="008866EC"/>
    <w:rsid w:val="008A01BB"/>
    <w:rsid w:val="008A62C3"/>
    <w:rsid w:val="008A710D"/>
    <w:rsid w:val="008C1EA4"/>
    <w:rsid w:val="008C3559"/>
    <w:rsid w:val="00904752"/>
    <w:rsid w:val="009060F3"/>
    <w:rsid w:val="009162CA"/>
    <w:rsid w:val="00931953"/>
    <w:rsid w:val="00953A39"/>
    <w:rsid w:val="009807C9"/>
    <w:rsid w:val="009E31B6"/>
    <w:rsid w:val="00A66172"/>
    <w:rsid w:val="00A80978"/>
    <w:rsid w:val="00A84502"/>
    <w:rsid w:val="00A95BC6"/>
    <w:rsid w:val="00AB1F16"/>
    <w:rsid w:val="00AB3838"/>
    <w:rsid w:val="00AD395F"/>
    <w:rsid w:val="00AE4F1F"/>
    <w:rsid w:val="00AF62A9"/>
    <w:rsid w:val="00B37A5F"/>
    <w:rsid w:val="00B875CF"/>
    <w:rsid w:val="00BA4FE5"/>
    <w:rsid w:val="00BB52A0"/>
    <w:rsid w:val="00C24837"/>
    <w:rsid w:val="00C53EE9"/>
    <w:rsid w:val="00C552BB"/>
    <w:rsid w:val="00C8767E"/>
    <w:rsid w:val="00CB2AF0"/>
    <w:rsid w:val="00CC0FF0"/>
    <w:rsid w:val="00CD0FE9"/>
    <w:rsid w:val="00CE2490"/>
    <w:rsid w:val="00D00EC2"/>
    <w:rsid w:val="00D62E70"/>
    <w:rsid w:val="00D668A5"/>
    <w:rsid w:val="00D94AFD"/>
    <w:rsid w:val="00DA69D5"/>
    <w:rsid w:val="00DC17E7"/>
    <w:rsid w:val="00DC489D"/>
    <w:rsid w:val="00DE204F"/>
    <w:rsid w:val="00DE415E"/>
    <w:rsid w:val="00DF6058"/>
    <w:rsid w:val="00E1611D"/>
    <w:rsid w:val="00E274FC"/>
    <w:rsid w:val="00E301CE"/>
    <w:rsid w:val="00E336A6"/>
    <w:rsid w:val="00E7100E"/>
    <w:rsid w:val="00E8539C"/>
    <w:rsid w:val="00EA488D"/>
    <w:rsid w:val="00EA4BE3"/>
    <w:rsid w:val="00F16723"/>
    <w:rsid w:val="00F177CA"/>
    <w:rsid w:val="00F17BB9"/>
    <w:rsid w:val="00F21DA4"/>
    <w:rsid w:val="00F65894"/>
    <w:rsid w:val="00FB03BE"/>
    <w:rsid w:val="00FE5A31"/>
    <w:rsid w:val="00FF61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387E64"/>
  <w15:docId w15:val="{8F2431B5-ED89-4DD2-9391-08E40A4E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FA"/>
    <w:pPr>
      <w:spacing w:after="0"/>
      <w:jc w:val="both"/>
    </w:pPr>
    <w:rPr>
      <w:rFonts w:ascii="Arial" w:hAnsi="Arial"/>
    </w:rPr>
  </w:style>
  <w:style w:type="paragraph" w:styleId="Overskrift1">
    <w:name w:val="heading 1"/>
    <w:basedOn w:val="Normal"/>
    <w:next w:val="Normal"/>
    <w:link w:val="Overskrift1Tegn"/>
    <w:uiPriority w:val="9"/>
    <w:qFormat/>
    <w:rsid w:val="009060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5B3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E31B6"/>
    <w:rPr>
      <w:color w:val="808080"/>
    </w:rPr>
  </w:style>
  <w:style w:type="paragraph" w:styleId="Markeringsbobletekst">
    <w:name w:val="Balloon Text"/>
    <w:basedOn w:val="Normal"/>
    <w:link w:val="MarkeringsbobletekstTegn"/>
    <w:uiPriority w:val="99"/>
    <w:semiHidden/>
    <w:unhideWhenUsed/>
    <w:rsid w:val="009E31B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E31B6"/>
    <w:rPr>
      <w:rFonts w:ascii="Tahoma" w:hAnsi="Tahoma" w:cs="Tahoma"/>
      <w:sz w:val="16"/>
      <w:szCs w:val="16"/>
    </w:rPr>
  </w:style>
  <w:style w:type="paragraph" w:styleId="Sidehoved">
    <w:name w:val="header"/>
    <w:basedOn w:val="Normal"/>
    <w:link w:val="SidehovedTegn"/>
    <w:uiPriority w:val="99"/>
    <w:unhideWhenUsed/>
    <w:rsid w:val="0090475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904752"/>
  </w:style>
  <w:style w:type="paragraph" w:styleId="Sidefod">
    <w:name w:val="footer"/>
    <w:basedOn w:val="Normal"/>
    <w:link w:val="SidefodTegn"/>
    <w:uiPriority w:val="99"/>
    <w:unhideWhenUsed/>
    <w:rsid w:val="00904752"/>
    <w:pPr>
      <w:tabs>
        <w:tab w:val="center" w:pos="4819"/>
        <w:tab w:val="right" w:pos="9638"/>
      </w:tabs>
      <w:spacing w:line="240" w:lineRule="auto"/>
    </w:pPr>
  </w:style>
  <w:style w:type="character" w:customStyle="1" w:styleId="SidefodTegn">
    <w:name w:val="Sidefod Tegn"/>
    <w:basedOn w:val="Standardskrifttypeiafsnit"/>
    <w:link w:val="Sidefod"/>
    <w:uiPriority w:val="99"/>
    <w:rsid w:val="00904752"/>
  </w:style>
  <w:style w:type="character" w:styleId="Hyperlink">
    <w:name w:val="Hyperlink"/>
    <w:basedOn w:val="Standardskrifttypeiafsnit"/>
    <w:uiPriority w:val="99"/>
    <w:unhideWhenUsed/>
    <w:rsid w:val="00731126"/>
    <w:rPr>
      <w:color w:val="0000FF" w:themeColor="hyperlink"/>
      <w:u w:val="single"/>
    </w:rPr>
  </w:style>
  <w:style w:type="character" w:styleId="Ulstomtale">
    <w:name w:val="Unresolved Mention"/>
    <w:basedOn w:val="Standardskrifttypeiafsnit"/>
    <w:uiPriority w:val="99"/>
    <w:semiHidden/>
    <w:unhideWhenUsed/>
    <w:rsid w:val="00731126"/>
    <w:rPr>
      <w:color w:val="605E5C"/>
      <w:shd w:val="clear" w:color="auto" w:fill="E1DFDD"/>
    </w:rPr>
  </w:style>
  <w:style w:type="character" w:styleId="Kommentarhenvisning">
    <w:name w:val="annotation reference"/>
    <w:basedOn w:val="Standardskrifttypeiafsnit"/>
    <w:uiPriority w:val="99"/>
    <w:semiHidden/>
    <w:unhideWhenUsed/>
    <w:rsid w:val="00731126"/>
    <w:rPr>
      <w:sz w:val="16"/>
      <w:szCs w:val="16"/>
    </w:rPr>
  </w:style>
  <w:style w:type="paragraph" w:styleId="Kommentartekst">
    <w:name w:val="annotation text"/>
    <w:basedOn w:val="Normal"/>
    <w:link w:val="KommentartekstTegn"/>
    <w:uiPriority w:val="99"/>
    <w:semiHidden/>
    <w:unhideWhenUsed/>
    <w:rsid w:val="00731126"/>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31126"/>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731126"/>
    <w:rPr>
      <w:b/>
      <w:bCs/>
    </w:rPr>
  </w:style>
  <w:style w:type="character" w:customStyle="1" w:styleId="KommentaremneTegn">
    <w:name w:val="Kommentaremne Tegn"/>
    <w:basedOn w:val="KommentartekstTegn"/>
    <w:link w:val="Kommentaremne"/>
    <w:uiPriority w:val="99"/>
    <w:semiHidden/>
    <w:rsid w:val="00731126"/>
    <w:rPr>
      <w:rFonts w:ascii="Arial" w:hAnsi="Arial"/>
      <w:b/>
      <w:bCs/>
      <w:sz w:val="20"/>
      <w:szCs w:val="20"/>
    </w:rPr>
  </w:style>
  <w:style w:type="paragraph" w:styleId="Listeafsnit">
    <w:name w:val="List Paragraph"/>
    <w:basedOn w:val="Normal"/>
    <w:uiPriority w:val="34"/>
    <w:qFormat/>
    <w:rsid w:val="00853008"/>
    <w:pPr>
      <w:ind w:left="720"/>
      <w:contextualSpacing/>
    </w:pPr>
  </w:style>
  <w:style w:type="paragraph" w:styleId="Ingenafstand">
    <w:name w:val="No Spacing"/>
    <w:link w:val="IngenafstandTegn"/>
    <w:uiPriority w:val="1"/>
    <w:qFormat/>
    <w:rsid w:val="00CB2AF0"/>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CB2AF0"/>
    <w:rPr>
      <w:rFonts w:eastAsiaTheme="minorEastAsia"/>
      <w:lang w:eastAsia="da-DK"/>
    </w:rPr>
  </w:style>
  <w:style w:type="character" w:customStyle="1" w:styleId="Overskrift1Tegn">
    <w:name w:val="Overskrift 1 Tegn"/>
    <w:basedOn w:val="Standardskrifttypeiafsnit"/>
    <w:link w:val="Overskrift1"/>
    <w:uiPriority w:val="9"/>
    <w:rsid w:val="009060F3"/>
    <w:rPr>
      <w:rFonts w:asciiTheme="majorHAnsi" w:eastAsiaTheme="majorEastAsia" w:hAnsiTheme="majorHAnsi" w:cstheme="majorBidi"/>
      <w:color w:val="365F91" w:themeColor="accent1" w:themeShade="BF"/>
      <w:sz w:val="32"/>
      <w:szCs w:val="32"/>
    </w:rPr>
  </w:style>
  <w:style w:type="paragraph" w:styleId="Overskrift">
    <w:name w:val="TOC Heading"/>
    <w:basedOn w:val="Overskrift1"/>
    <w:next w:val="Normal"/>
    <w:uiPriority w:val="39"/>
    <w:unhideWhenUsed/>
    <w:qFormat/>
    <w:rsid w:val="009060F3"/>
    <w:pPr>
      <w:spacing w:line="259" w:lineRule="auto"/>
      <w:jc w:val="left"/>
      <w:outlineLvl w:val="9"/>
    </w:pPr>
    <w:rPr>
      <w:lang w:eastAsia="da-DK"/>
    </w:rPr>
  </w:style>
  <w:style w:type="table" w:styleId="Gittertabel4">
    <w:name w:val="Grid Table 4"/>
    <w:basedOn w:val="Tabel-Normal"/>
    <w:uiPriority w:val="49"/>
    <w:rsid w:val="005F7F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Handlingsplan">
    <w:name w:val="Handlingsplan"/>
    <w:basedOn w:val="Tabel-Normal"/>
    <w:uiPriority w:val="99"/>
    <w:rsid w:val="008275B3"/>
    <w:pPr>
      <w:spacing w:after="0" w:line="240" w:lineRule="auto"/>
    </w:pPr>
    <w:tblPr>
      <w:tblStyleRowBandSize w:val="1"/>
    </w:tblPr>
    <w:tcPr>
      <w:tcMar>
        <w:top w:w="74" w:type="dxa"/>
        <w:left w:w="142" w:type="dxa"/>
        <w:bottom w:w="74" w:type="dxa"/>
        <w:right w:w="142" w:type="dxa"/>
      </w:tcMar>
    </w:tcPr>
    <w:tblStylePr w:type="firstRow">
      <w:tblPr/>
      <w:tcPr>
        <w:tcBorders>
          <w:top w:val="nil"/>
          <w:left w:val="nil"/>
          <w:bottom w:val="single" w:sz="18" w:space="0" w:color="FFFFFF" w:themeColor="background1"/>
          <w:right w:val="nil"/>
          <w:insideH w:val="nil"/>
          <w:insideV w:val="single" w:sz="4" w:space="0" w:color="FFFFFF" w:themeColor="background1"/>
          <w:tl2br w:val="nil"/>
          <w:tr2bl w:val="nil"/>
        </w:tcBorders>
        <w:shd w:val="clear" w:color="auto" w:fill="0A1E46"/>
      </w:tcPr>
    </w:tblStylePr>
    <w:tblStylePr w:type="band1Horz">
      <w:pPr>
        <w:jc w:val="left"/>
      </w:pPr>
      <w:tblPr/>
      <w:tcPr>
        <w:tcBorders>
          <w:bottom w:val="single" w:sz="4" w:space="0" w:color="FFFFFF" w:themeColor="background1"/>
          <w:insideH w:val="single" w:sz="4" w:space="0" w:color="FFFFFF" w:themeColor="background1"/>
          <w:insideV w:val="single" w:sz="4" w:space="0" w:color="FFFFFF" w:themeColor="background1"/>
        </w:tcBorders>
        <w:shd w:val="clear" w:color="auto" w:fill="BFBFBF" w:themeFill="background1" w:themeFillShade="BF"/>
      </w:tcPr>
    </w:tblStylePr>
    <w:tblStylePr w:type="band2Horz">
      <w:rPr>
        <w:color w:val="auto"/>
      </w:rPr>
      <w:tblPr/>
      <w:tcPr>
        <w:tcBorders>
          <w:top w:val="nil"/>
          <w:left w:val="nil"/>
          <w:bottom w:val="single" w:sz="4" w:space="0" w:color="FFFFFF" w:themeColor="background1"/>
          <w:right w:val="nil"/>
          <w:insideH w:val="single" w:sz="4" w:space="0" w:color="FFFFFF" w:themeColor="background1"/>
          <w:insideV w:val="single" w:sz="4" w:space="0" w:color="FFFFFF" w:themeColor="background1"/>
        </w:tcBorders>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00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mstol.dk/media/xh5knbob/danmarks-domstoles-handlingsplan-2022.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domstol.dk/media/2856/dom_strategi_folder-web.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694951" gbs:entity="Document" gbs:templateDesignerVersion="3.1 F">
  <gbs:OurRef.Initials gbs:loadFromGrowBusiness="OnProduce" gbs:saveInGrowBusiness="False" gbs:connected="true" gbs:recno="" gbs:entity="" gbs:datatype="string" gbs:key="10000">hhk</gbs:OurRef.Initials>
  <gbs:ToOrgUnit.Initials gbs:loadFromGrowBusiness="OnProduce" gbs:saveInGrowBusiness="False" gbs:connected="true" gbs:recno="" gbs:entity="" gbs:datatype="string" gbs:key="10001">
  </gbs:ToOrgUnit.Initials>
  <gbs:Title gbs:loadFromGrowBusiness="OnProduce" gbs:saveInGrowBusiness="False" gbs:connected="true" gbs:recno="" gbs:entity="" gbs:datatype="string" gbs:key="10002">Skabelon</gbs:Title>
  <gbs:DocumentDate gbs:loadFromGrowBusiness="OnProduce" gbs:saveInGrowBusiness="True" gbs:connected="true" gbs:recno="" gbs:entity="" gbs:datatype="date" gbs:key="10003" gbs:removeContentControl="0">2019-11-22T00:00:00</gbs:DocumentDate>
  <gbs:DocumentNumber gbs:loadFromGrowBusiness="OnProduce" gbs:saveInGrowBusiness="False" gbs:connected="true" gbs:recno="" gbs:entity="" gbs:datatype="string" gbs:key="10004">2019-3101-0005-1</gbs:DocumentNumber>
  <gbs:ToOrgUnit.Name gbs:loadFromGrowBusiness="OnProduce" gbs:saveInGrowBusiness="False" gbs:connected="true" gbs:recno="" gbs:entity="" gbs:datatype="string" gbs:key="10005">Center for Forretning og udvikling</gbs:ToOrgUnit.Name>
  <gbs:OurRef.Name gbs:loadFromGrowBusiness="OnProduce" gbs:saveInGrowBusiness="False" gbs:connected="true" gbs:recno="" gbs:entity="" gbs:datatype="string" gbs:key="10006">Helle Hübertz Krogsøe</gbs:OurRef.Name>
  <gbs:OurRef.DirectLine gbs:loadFromGrowBusiness="OnProduce" gbs:saveInGrowBusiness="False" gbs:connected="true" gbs:recno="" gbs:entity="" gbs:datatype="string" gbs:key="10007">
  </gbs:OurRef.DirectLine>
  <gbs:OurRef.E-mail gbs:loadFromGrowBusiness="OnProduce" gbs:saveInGrowBusiness="False" gbs:connected="true" gbs:recno="" gbs:entity="" gbs:datatype="string" gbs:key="10008">HHK@domstolsstyrelsen.dk</gbs:OurRef.E-mail>
</gbs:GrowBusinessDocument>
</file>

<file path=customXml/itemProps1.xml><?xml version="1.0" encoding="utf-8"?>
<ds:datastoreItem xmlns:ds="http://schemas.openxmlformats.org/officeDocument/2006/customXml" ds:itemID="{C2517874-1598-4CD8-9EB3-9A9A4C3EBE12}">
  <ds:schemaRefs>
    <ds:schemaRef ds:uri="http://schemas.openxmlformats.org/officeDocument/2006/bibliography"/>
  </ds:schemaRefs>
</ds:datastoreItem>
</file>

<file path=customXml/itemProps2.xml><?xml version="1.0" encoding="utf-8"?>
<ds:datastoreItem xmlns:ds="http://schemas.openxmlformats.org/officeDocument/2006/customXml" ds:itemID="{C41521CC-D1F3-41DB-8A3C-A7A0F6426CFB}">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785</Words>
  <Characters>4795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lpstr>
    </vt:vector>
  </TitlesOfParts>
  <Company>Domstlsstyrelsen</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Helle Hübertz Krogsøe</dc:creator>
  <cp:lastModifiedBy>Ulla Thygesen</cp:lastModifiedBy>
  <cp:revision>2</cp:revision>
  <dcterms:created xsi:type="dcterms:W3CDTF">2022-03-08T09:46:00Z</dcterms:created>
  <dcterms:modified xsi:type="dcterms:W3CDTF">2022-03-08T09:46:00Z</dcterms:modified>
</cp:coreProperties>
</file>